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23C12E" w14:textId="77777777" w:rsidR="005E4C7C" w:rsidRPr="005E4C7C" w:rsidRDefault="005E4C7C" w:rsidP="005E4C7C">
      <w:pPr>
        <w:pStyle w:val="papersubtitle"/>
        <w:rPr>
          <w:sz w:val="48"/>
          <w:szCs w:val="48"/>
        </w:rPr>
      </w:pPr>
      <w:r w:rsidRPr="005E4C7C">
        <w:rPr>
          <w:b/>
          <w:bCs/>
          <w:sz w:val="48"/>
          <w:szCs w:val="48"/>
        </w:rPr>
        <w:t>Automatic chamber</w:t>
      </w:r>
      <w:r>
        <w:rPr>
          <w:b/>
          <w:bCs/>
          <w:sz w:val="48"/>
          <w:szCs w:val="48"/>
        </w:rPr>
        <w:t xml:space="preserve"> measurements of Net Ecosystem (CO</w:t>
      </w:r>
      <w:r>
        <w:rPr>
          <w:b/>
          <w:bCs/>
          <w:sz w:val="48"/>
          <w:szCs w:val="48"/>
          <w:vertAlign w:val="subscript"/>
        </w:rPr>
        <w:t>2</w:t>
      </w:r>
      <w:r w:rsidRPr="005E4C7C">
        <w:rPr>
          <w:b/>
          <w:bCs/>
          <w:sz w:val="48"/>
          <w:szCs w:val="48"/>
        </w:rPr>
        <w:t xml:space="preserve">) Exchange at </w:t>
      </w:r>
      <w:proofErr w:type="gramStart"/>
      <w:r w:rsidRPr="005E4C7C">
        <w:rPr>
          <w:b/>
          <w:bCs/>
          <w:sz w:val="48"/>
          <w:szCs w:val="48"/>
        </w:rPr>
        <w:t>a Subarctic</w:t>
      </w:r>
      <w:proofErr w:type="gramEnd"/>
      <w:r w:rsidRPr="005E4C7C">
        <w:rPr>
          <w:b/>
          <w:bCs/>
          <w:sz w:val="48"/>
          <w:szCs w:val="48"/>
        </w:rPr>
        <w:t xml:space="preserve"> Mire in Northern Sweden   </w:t>
      </w:r>
    </w:p>
    <w:p w14:paraId="30B6A9CD" w14:textId="77777777" w:rsidR="00CD1E91" w:rsidRDefault="00CD1E91"/>
    <w:p w14:paraId="6A9CD7C4" w14:textId="77777777" w:rsidR="00CD1E91" w:rsidRDefault="00CD1E91">
      <w:pPr>
        <w:sectPr w:rsidR="00CD1E91">
          <w:pgSz w:w="12240" w:h="15840"/>
          <w:pgMar w:top="1080" w:right="893" w:bottom="1440" w:left="893" w:header="720" w:footer="720" w:gutter="0"/>
          <w:cols w:space="720"/>
          <w:docGrid w:linePitch="360"/>
        </w:sectPr>
      </w:pPr>
    </w:p>
    <w:p w14:paraId="1E0E7730" w14:textId="77777777" w:rsidR="00CD1E91" w:rsidRDefault="00773DFE">
      <w:pPr>
        <w:pStyle w:val="Author"/>
        <w:rPr>
          <w:rFonts w:eastAsia="Times New Roman"/>
        </w:rPr>
      </w:pPr>
      <w:r>
        <w:lastRenderedPageBreak/>
        <w:t>Dr. Linda B. Hayden, Principal Investigator</w:t>
      </w:r>
    </w:p>
    <w:p w14:paraId="2BFF1F04" w14:textId="77777777" w:rsidR="00CD1E91" w:rsidRDefault="00773DFE" w:rsidP="00421E02">
      <w:pPr>
        <w:pStyle w:val="Affiliation"/>
      </w:pPr>
      <w:r>
        <w:rPr>
          <w:rFonts w:eastAsia="Times New Roman"/>
        </w:rPr>
        <w:t xml:space="preserve">Elizabeth City State University </w:t>
      </w:r>
      <w:r w:rsidR="00AB49DF">
        <w:rPr>
          <w:rFonts w:eastAsia="Times New Roman"/>
        </w:rPr>
        <w:t xml:space="preserve"> </w:t>
      </w:r>
    </w:p>
    <w:p w14:paraId="7555A73B" w14:textId="77777777" w:rsidR="00CD1E91" w:rsidRDefault="00773DFE">
      <w:pPr>
        <w:pStyle w:val="Affiliation"/>
      </w:pPr>
      <w:r>
        <w:t>Elizabeth City</w:t>
      </w:r>
      <w:r w:rsidR="00CD1E91">
        <w:t>,</w:t>
      </w:r>
      <w:r w:rsidR="00CD1E91">
        <w:rPr>
          <w:rFonts w:eastAsia="Times New Roman"/>
        </w:rPr>
        <w:t xml:space="preserve"> </w:t>
      </w:r>
      <w:r w:rsidR="00421E02">
        <w:t>USA</w:t>
      </w:r>
    </w:p>
    <w:p w14:paraId="71FD66E9" w14:textId="77777777" w:rsidR="00CD1E91" w:rsidRDefault="00773DFE">
      <w:pPr>
        <w:pStyle w:val="Affiliation"/>
      </w:pPr>
      <w:r>
        <w:t>haydenl@mindspring.com</w:t>
      </w:r>
    </w:p>
    <w:p w14:paraId="2161E8D0" w14:textId="77777777" w:rsidR="00CD1E91" w:rsidRDefault="00773DFE">
      <w:pPr>
        <w:pStyle w:val="Author"/>
        <w:rPr>
          <w:rFonts w:eastAsia="Times New Roman"/>
        </w:rPr>
      </w:pPr>
      <w:r>
        <w:lastRenderedPageBreak/>
        <w:t>Ryan D. Lawrence, Mentor</w:t>
      </w:r>
    </w:p>
    <w:p w14:paraId="442D4A41" w14:textId="77777777" w:rsidR="00CD1E91" w:rsidRDefault="00773DFE">
      <w:pPr>
        <w:pStyle w:val="Affiliation"/>
      </w:pPr>
      <w:r>
        <w:rPr>
          <w:rFonts w:eastAsia="Times New Roman"/>
        </w:rPr>
        <w:t>University of New Hampshire</w:t>
      </w:r>
    </w:p>
    <w:p w14:paraId="18867F86" w14:textId="77777777" w:rsidR="00CD1E91" w:rsidRDefault="00773DFE">
      <w:pPr>
        <w:pStyle w:val="Affiliation"/>
      </w:pPr>
      <w:r>
        <w:t>Durham</w:t>
      </w:r>
      <w:r w:rsidR="00AB49DF">
        <w:t>, USA</w:t>
      </w:r>
      <w:r w:rsidR="00CD1E91">
        <w:t xml:space="preserve"> </w:t>
      </w:r>
    </w:p>
    <w:p w14:paraId="7AD6FE55" w14:textId="77777777" w:rsidR="00CD1E91" w:rsidRDefault="00773DFE">
      <w:pPr>
        <w:pStyle w:val="Affiliation"/>
        <w:sectPr w:rsidR="00CD1E91">
          <w:type w:val="continuous"/>
          <w:pgSz w:w="12240" w:h="15840"/>
          <w:pgMar w:top="1080" w:right="893" w:bottom="1440" w:left="893" w:header="720" w:footer="720" w:gutter="0"/>
          <w:cols w:num="2" w:space="566" w:equalWidth="0">
            <w:col w:w="4855" w:space="566"/>
            <w:col w:w="5033"/>
          </w:cols>
          <w:docGrid w:linePitch="360"/>
        </w:sectPr>
      </w:pPr>
      <w:proofErr w:type="gramStart"/>
      <w:r>
        <w:t>ryan.d.lawrence@gmail.com</w:t>
      </w:r>
      <w:proofErr w:type="gramEnd"/>
    </w:p>
    <w:p w14:paraId="24E80E19" w14:textId="77777777" w:rsidR="00CD1E91" w:rsidRDefault="00CD1E91">
      <w:pPr>
        <w:pStyle w:val="Affiliation"/>
      </w:pPr>
    </w:p>
    <w:p w14:paraId="75719B70" w14:textId="77777777" w:rsidR="00421E02" w:rsidRDefault="00421E02">
      <w:pPr>
        <w:pStyle w:val="Affiliation"/>
      </w:pPr>
    </w:p>
    <w:p w14:paraId="22650708" w14:textId="77777777" w:rsidR="00421E02" w:rsidRPr="00BA5D64" w:rsidRDefault="00773DFE" w:rsidP="00BA5D64">
      <w:pPr>
        <w:rPr>
          <w:sz w:val="22"/>
          <w:szCs w:val="22"/>
        </w:rPr>
      </w:pPr>
      <w:r w:rsidRPr="00773DFE">
        <w:rPr>
          <w:sz w:val="22"/>
          <w:szCs w:val="22"/>
        </w:rPr>
        <w:t>Maeah</w:t>
      </w:r>
      <w:r>
        <w:rPr>
          <w:sz w:val="22"/>
          <w:szCs w:val="22"/>
        </w:rPr>
        <w:t xml:space="preserve"> J.</w:t>
      </w:r>
      <w:r w:rsidRPr="00773DFE">
        <w:rPr>
          <w:sz w:val="22"/>
          <w:szCs w:val="22"/>
        </w:rPr>
        <w:t xml:space="preserve"> Walthall</w:t>
      </w:r>
    </w:p>
    <w:p w14:paraId="18CB94C0" w14:textId="77777777" w:rsidR="00421E02" w:rsidRDefault="00773DFE" w:rsidP="00421E02">
      <w:r>
        <w:t xml:space="preserve">George Mason University </w:t>
      </w:r>
    </w:p>
    <w:p w14:paraId="5516513B" w14:textId="77777777" w:rsidR="00421E02" w:rsidRDefault="00773DFE" w:rsidP="00421E02">
      <w:r>
        <w:t>Fairfax</w:t>
      </w:r>
      <w:r w:rsidR="00421E02">
        <w:t xml:space="preserve">, </w:t>
      </w:r>
      <w:r w:rsidR="00BA5D64">
        <w:t>USA</w:t>
      </w:r>
      <w:r w:rsidR="00421E02">
        <w:t xml:space="preserve"> </w:t>
      </w:r>
    </w:p>
    <w:p w14:paraId="54372936" w14:textId="77777777" w:rsidR="00CD1E91" w:rsidRDefault="00773DFE" w:rsidP="00421E02">
      <w:r>
        <w:t>mwalthal@gmu.edu</w:t>
      </w:r>
    </w:p>
    <w:p w14:paraId="6334E238" w14:textId="77777777" w:rsidR="00CD1E91" w:rsidRDefault="00CD1E91"/>
    <w:p w14:paraId="7ED763DE" w14:textId="77777777" w:rsidR="00421E02" w:rsidRDefault="00773DFE" w:rsidP="00421E02">
      <w:pPr>
        <w:pStyle w:val="Author"/>
        <w:rPr>
          <w:rFonts w:eastAsia="Times New Roman"/>
        </w:rPr>
      </w:pPr>
      <w:r>
        <w:lastRenderedPageBreak/>
        <w:t xml:space="preserve">Xavier K. Parker-Smith </w:t>
      </w:r>
    </w:p>
    <w:p w14:paraId="281F4093" w14:textId="77777777" w:rsidR="00421E02" w:rsidRDefault="00773DFE" w:rsidP="00421E02">
      <w:pPr>
        <w:pStyle w:val="Affiliation"/>
      </w:pPr>
      <w:r>
        <w:rPr>
          <w:rFonts w:eastAsia="Times New Roman"/>
        </w:rPr>
        <w:t xml:space="preserve">North Carolina A&amp;T State University </w:t>
      </w:r>
    </w:p>
    <w:p w14:paraId="51FD03DE" w14:textId="77777777" w:rsidR="00421E02" w:rsidRDefault="00773DFE" w:rsidP="00421E02">
      <w:pPr>
        <w:pStyle w:val="Affiliation"/>
      </w:pPr>
      <w:r>
        <w:t>Greensboro</w:t>
      </w:r>
      <w:r w:rsidR="00BA5D64">
        <w:t>, USA</w:t>
      </w:r>
    </w:p>
    <w:p w14:paraId="728A4BE3" w14:textId="77777777" w:rsidR="00773DFE" w:rsidRDefault="00773DFE" w:rsidP="00421E02">
      <w:pPr>
        <w:pStyle w:val="Affiliation"/>
      </w:pPr>
      <w:r>
        <w:t>xavierparkersmith@yahoo.com</w:t>
      </w:r>
    </w:p>
    <w:p w14:paraId="3E8E476A" w14:textId="77777777" w:rsidR="00773DFE" w:rsidRDefault="00773DFE" w:rsidP="00773DFE">
      <w:pPr>
        <w:pStyle w:val="Affiliation"/>
        <w:jc w:val="both"/>
        <w:sectPr w:rsidR="00773DFE">
          <w:type w:val="continuous"/>
          <w:pgSz w:w="12240" w:h="15840"/>
          <w:pgMar w:top="1080" w:right="893" w:bottom="1440" w:left="893" w:header="720" w:footer="720" w:gutter="0"/>
          <w:cols w:num="2" w:space="566" w:equalWidth="0">
            <w:col w:w="4855" w:space="566"/>
            <w:col w:w="5033"/>
          </w:cols>
          <w:docGrid w:linePitch="360"/>
        </w:sectPr>
      </w:pPr>
    </w:p>
    <w:p w14:paraId="73568266" w14:textId="77777777" w:rsidR="00421E02" w:rsidRDefault="00421E02">
      <w:pPr>
        <w:sectPr w:rsidR="00421E02">
          <w:type w:val="continuous"/>
          <w:pgSz w:w="12240" w:h="15840"/>
          <w:pgMar w:top="1080" w:right="893" w:bottom="1440" w:left="893" w:header="720" w:footer="720" w:gutter="0"/>
          <w:cols w:space="720"/>
          <w:docGrid w:linePitch="360"/>
        </w:sectPr>
      </w:pPr>
    </w:p>
    <w:p w14:paraId="58D57B8A" w14:textId="77777777" w:rsidR="00CD1E91" w:rsidRDefault="00CD1E91">
      <w:pPr>
        <w:pStyle w:val="Abstract"/>
        <w:rPr>
          <w:i/>
        </w:rPr>
      </w:pPr>
      <w:r>
        <w:rPr>
          <w:i/>
          <w:iCs/>
        </w:rPr>
        <w:lastRenderedPageBreak/>
        <w:t>Abstract</w:t>
      </w:r>
      <w:r>
        <w:rPr>
          <w:rFonts w:eastAsia="Times New Roman"/>
        </w:rPr>
        <w:t>—</w:t>
      </w:r>
      <w:r w:rsidR="003613AC" w:rsidRPr="003613AC">
        <w:t xml:space="preserve"> Permafrost stores 50% of the global soil organic carbon</w:t>
      </w:r>
      <w:r w:rsidR="000F3963">
        <w:t xml:space="preserve"> [1]</w:t>
      </w:r>
      <w:r w:rsidR="003613AC" w:rsidRPr="003613AC">
        <w:t xml:space="preserve">. Increasing climate temperatures in the arctic region have given rise to permafrost thaw, exposing once stable organic carbon to decomposition, and potentially altering the global carbon budget. In this study, we present a secondary data analysis of high frequency net ecosystem (CO2) exchange measurements made using a quantum cascade laser spectrometer </w:t>
      </w:r>
      <w:r w:rsidR="00093E78">
        <w:t xml:space="preserve">(Aerodyne Research Institute) </w:t>
      </w:r>
      <w:r w:rsidR="003613AC" w:rsidRPr="003613AC">
        <w:t xml:space="preserve">connected to a </w:t>
      </w:r>
      <w:proofErr w:type="gramStart"/>
      <w:r w:rsidR="003613AC" w:rsidRPr="003613AC">
        <w:t>nine member</w:t>
      </w:r>
      <w:proofErr w:type="gramEnd"/>
      <w:r w:rsidR="003613AC" w:rsidRPr="003613AC">
        <w:t xml:space="preserve"> autochamber system positioned in the three dominant vegetation communities at Stordalen Mire in Northern Sweden (68° 21'N, 18° 49'E). Over DOY 121 - 260 during the year 2013, the magnitude of net ecosystem (CO2) exchanged followed the moisture gradient with increasing CO2 uptake from the dry Palsa site (- 0.3 ± 1.6 mg C m-2 h-1), to the wet intermediate melt feature with Sphagnum spp. (- 22.1 ± 0.9 mg C m-2 h-1), to the fully wet Eriophorum spp. site (- 49.9 ± 4.2 mg C m-2 h-1), with highest uptake occurring in the fully thawed Eriophorum/ Sphagnum (Ch. 9) collar (- 87.2 ± 6.0 mg C m-2 h-1) (overall mean ±1 SE, n = 1267, 2334, 1211, 772). All mean fluxes were statistically different from each other (p &lt; 0.0001). At all sites, PAR was the best environmental predictor of NEE. Although increased warming has resulted in permafrost thaw, any possible loss of old carbon in the form of CO2 from thawing or thawed sites was more than offset by a greater net uptake of CO2 occurring in the wetter sites.  </w:t>
      </w:r>
    </w:p>
    <w:p w14:paraId="10F139F9" w14:textId="77777777" w:rsidR="00CD1E91" w:rsidRPr="003613AC" w:rsidRDefault="00CD1E91">
      <w:pPr>
        <w:pStyle w:val="keywords"/>
        <w:ind w:firstLine="180"/>
        <w:rPr>
          <w:i/>
        </w:rPr>
      </w:pPr>
      <w:r w:rsidRPr="003613AC">
        <w:rPr>
          <w:i/>
        </w:rPr>
        <w:t>Index</w:t>
      </w:r>
      <w:r w:rsidRPr="003613AC">
        <w:rPr>
          <w:rFonts w:eastAsia="Times New Roman"/>
          <w:i/>
        </w:rPr>
        <w:t xml:space="preserve"> </w:t>
      </w:r>
      <w:r w:rsidRPr="003613AC">
        <w:rPr>
          <w:i/>
        </w:rPr>
        <w:t>Terms</w:t>
      </w:r>
      <w:r w:rsidRPr="003613AC">
        <w:rPr>
          <w:rFonts w:eastAsia="Times New Roman"/>
          <w:i/>
        </w:rPr>
        <w:t>—</w:t>
      </w:r>
      <w:r w:rsidR="003613AC" w:rsidRPr="003613AC">
        <w:rPr>
          <w:i/>
        </w:rPr>
        <w:t xml:space="preserve"> </w:t>
      </w:r>
      <w:r w:rsidR="003613AC" w:rsidRPr="003613AC">
        <w:rPr>
          <w:rFonts w:eastAsia="Times New Roman"/>
          <w:i/>
        </w:rPr>
        <w:t>Permafrost, wetland, bog, fen net ecosystem (CO2) exchange, diurnal, peatland, peat, respiration</w:t>
      </w:r>
      <w:r w:rsidR="00EF0F26">
        <w:rPr>
          <w:rFonts w:eastAsia="Times New Roman"/>
          <w:i/>
        </w:rPr>
        <w:t>, thaw gradient</w:t>
      </w:r>
    </w:p>
    <w:p w14:paraId="1149BAF6" w14:textId="77777777" w:rsidR="00CD1E91" w:rsidRDefault="00CD1E91">
      <w:pPr>
        <w:pStyle w:val="Heading1"/>
      </w:pPr>
      <w:r>
        <w:t>Introduction</w:t>
      </w:r>
    </w:p>
    <w:p w14:paraId="54961701" w14:textId="77777777" w:rsidR="003613AC" w:rsidRPr="003613AC" w:rsidRDefault="003613AC" w:rsidP="003613AC">
      <w:pPr>
        <w:pStyle w:val="NormalWeb"/>
        <w:spacing w:before="0" w:beforeAutospacing="0" w:after="0" w:afterAutospacing="0"/>
        <w:ind w:firstLine="720"/>
        <w:rPr>
          <w:sz w:val="20"/>
          <w:szCs w:val="20"/>
        </w:rPr>
      </w:pPr>
      <w:r w:rsidRPr="003613AC">
        <w:rPr>
          <w:color w:val="000000"/>
          <w:sz w:val="20"/>
          <w:szCs w:val="20"/>
        </w:rPr>
        <w:t>Northern latitude (&gt;~50</w:t>
      </w:r>
      <w:r w:rsidR="00FA098B">
        <w:rPr>
          <w:color w:val="000000"/>
          <w:sz w:val="20"/>
          <w:szCs w:val="20"/>
        </w:rPr>
        <w:t>°</w:t>
      </w:r>
      <w:r w:rsidRPr="003613AC">
        <w:rPr>
          <w:color w:val="000000"/>
          <w:sz w:val="20"/>
          <w:szCs w:val="20"/>
        </w:rPr>
        <w:t xml:space="preserve">N) wetlands are characterized by cold, wet conditions that result in low decomposition rates for plant litter. These conditions promote the sequestration of carbon (C) in the form of organic matter (i.e. peat) and result in the development of widespread peatlands, wetlands thick with </w:t>
      </w:r>
      <w:proofErr w:type="gramStart"/>
      <w:r w:rsidRPr="003613AC">
        <w:rPr>
          <w:color w:val="000000"/>
          <w:sz w:val="20"/>
          <w:szCs w:val="20"/>
        </w:rPr>
        <w:t>water-logged</w:t>
      </w:r>
      <w:proofErr w:type="gramEnd"/>
      <w:r w:rsidRPr="003613AC">
        <w:rPr>
          <w:color w:val="000000"/>
          <w:sz w:val="20"/>
          <w:szCs w:val="20"/>
        </w:rPr>
        <w:t xml:space="preserve"> organic soil layer (peat) made up of decomposing plant material. Peatlands in the Northern Hemisphere have removed atmospheric CO</w:t>
      </w:r>
      <w:r w:rsidRPr="003613AC">
        <w:rPr>
          <w:color w:val="000000"/>
          <w:sz w:val="20"/>
          <w:szCs w:val="20"/>
          <w:vertAlign w:val="subscript"/>
        </w:rPr>
        <w:t>2</w:t>
      </w:r>
      <w:r w:rsidRPr="003613AC">
        <w:rPr>
          <w:color w:val="000000"/>
          <w:sz w:val="20"/>
          <w:szCs w:val="20"/>
        </w:rPr>
        <w:t xml:space="preserve"> for </w:t>
      </w:r>
      <w:r w:rsidRPr="003613AC">
        <w:rPr>
          <w:color w:val="000000"/>
          <w:sz w:val="20"/>
          <w:szCs w:val="20"/>
        </w:rPr>
        <w:lastRenderedPageBreak/>
        <w:t xml:space="preserve">the past 10,000 years </w:t>
      </w:r>
      <w:r w:rsidR="00893B16">
        <w:rPr>
          <w:color w:val="000000"/>
          <w:sz w:val="20"/>
          <w:szCs w:val="20"/>
        </w:rPr>
        <w:t xml:space="preserve">[2]. </w:t>
      </w:r>
      <w:r w:rsidRPr="003613AC">
        <w:rPr>
          <w:color w:val="000000"/>
          <w:sz w:val="20"/>
          <w:szCs w:val="20"/>
        </w:rPr>
        <w:t>Approximately twenty-four percent (24%) of the Northern Hemisphere contains permafrost, which has accumulated 1</w:t>
      </w:r>
      <w:r w:rsidR="00893B16">
        <w:rPr>
          <w:color w:val="000000"/>
          <w:sz w:val="20"/>
          <w:szCs w:val="20"/>
        </w:rPr>
        <w:t xml:space="preserve">700 Petagrams (Pg) of organic C, </w:t>
      </w:r>
      <w:r w:rsidRPr="003613AC">
        <w:rPr>
          <w:color w:val="000000"/>
          <w:sz w:val="20"/>
          <w:szCs w:val="20"/>
        </w:rPr>
        <w:t xml:space="preserve">which is more than double the size of the whole atmospheric carbon pool and more than twice the amount of previous estimates in high latitude </w:t>
      </w:r>
      <w:r w:rsidR="00EF0F26">
        <w:rPr>
          <w:color w:val="000000"/>
          <w:sz w:val="20"/>
          <w:szCs w:val="20"/>
        </w:rPr>
        <w:t>[</w:t>
      </w:r>
      <w:r w:rsidR="00893B16">
        <w:rPr>
          <w:color w:val="000000"/>
          <w:sz w:val="20"/>
          <w:szCs w:val="20"/>
        </w:rPr>
        <w:t>3, 4, 5]</w:t>
      </w:r>
      <w:r w:rsidRPr="003613AC">
        <w:rPr>
          <w:color w:val="000000"/>
          <w:sz w:val="20"/>
          <w:szCs w:val="20"/>
        </w:rPr>
        <w:t xml:space="preserve">. </w:t>
      </w:r>
    </w:p>
    <w:p w14:paraId="1CFD5E94" w14:textId="77777777" w:rsidR="003613AC" w:rsidRPr="003613AC" w:rsidRDefault="003613AC" w:rsidP="00EB4BBC">
      <w:pPr>
        <w:pStyle w:val="NormalWeb"/>
        <w:spacing w:before="0" w:beforeAutospacing="0" w:after="0" w:afterAutospacing="0"/>
        <w:ind w:firstLine="720"/>
        <w:rPr>
          <w:sz w:val="20"/>
          <w:szCs w:val="20"/>
        </w:rPr>
      </w:pPr>
      <w:r w:rsidRPr="003613AC">
        <w:rPr>
          <w:color w:val="000000"/>
          <w:sz w:val="20"/>
          <w:szCs w:val="20"/>
        </w:rPr>
        <w:t>As of 2000, average temperature levels in the Swedish sub-arctic region have reached a point where statistical data shows the temperature has crossed the 0</w:t>
      </w:r>
      <w:r w:rsidRPr="003613AC">
        <w:rPr>
          <w:rFonts w:ascii="Cambria Math" w:hAnsi="Cambria Math" w:cs="Cambria Math"/>
          <w:color w:val="000000"/>
          <w:sz w:val="20"/>
          <w:szCs w:val="20"/>
        </w:rPr>
        <w:t>⁰</w:t>
      </w:r>
      <w:r w:rsidRPr="003613AC">
        <w:rPr>
          <w:color w:val="000000"/>
          <w:sz w:val="20"/>
          <w:szCs w:val="20"/>
        </w:rPr>
        <w:t>C mean annual threshold for permafrost st</w:t>
      </w:r>
      <w:r w:rsidR="00546004">
        <w:rPr>
          <w:color w:val="000000"/>
          <w:sz w:val="20"/>
          <w:szCs w:val="20"/>
        </w:rPr>
        <w:t>ability [6</w:t>
      </w:r>
      <w:r w:rsidR="001722F5">
        <w:rPr>
          <w:color w:val="000000"/>
          <w:sz w:val="20"/>
          <w:szCs w:val="20"/>
        </w:rPr>
        <w:t>]</w:t>
      </w:r>
      <w:r w:rsidRPr="003613AC">
        <w:rPr>
          <w:color w:val="000000"/>
          <w:sz w:val="20"/>
          <w:szCs w:val="20"/>
        </w:rPr>
        <w:t xml:space="preserve">. With the temperature increase in arctic regions, the result is permafrost thaw. Peatlands in the Northern permafrost regions have been currently experiencing increased thaw rates </w:t>
      </w:r>
      <w:r w:rsidR="001722F5">
        <w:rPr>
          <w:color w:val="000000"/>
          <w:sz w:val="20"/>
          <w:szCs w:val="20"/>
        </w:rPr>
        <w:t>[</w:t>
      </w:r>
      <w:r w:rsidR="00546004">
        <w:rPr>
          <w:color w:val="000000"/>
          <w:sz w:val="20"/>
          <w:szCs w:val="20"/>
        </w:rPr>
        <w:t>6, 8, 9</w:t>
      </w:r>
      <w:r w:rsidR="00F43D5F">
        <w:rPr>
          <w:color w:val="000000"/>
          <w:sz w:val="20"/>
          <w:szCs w:val="20"/>
        </w:rPr>
        <w:t>]</w:t>
      </w:r>
      <w:r w:rsidRPr="003613AC">
        <w:rPr>
          <w:color w:val="000000"/>
          <w:sz w:val="20"/>
          <w:szCs w:val="20"/>
        </w:rPr>
        <w:t>. The recession of permafrost has been the subject of observation in prior studies of arctic an</w:t>
      </w:r>
      <w:r w:rsidR="00546004">
        <w:rPr>
          <w:color w:val="000000"/>
          <w:sz w:val="20"/>
          <w:szCs w:val="20"/>
        </w:rPr>
        <w:t>d subarctic regions [10</w:t>
      </w:r>
      <w:r w:rsidR="00F43D5F">
        <w:rPr>
          <w:color w:val="000000"/>
          <w:sz w:val="20"/>
          <w:szCs w:val="20"/>
        </w:rPr>
        <w:t>]</w:t>
      </w:r>
      <w:r w:rsidRPr="003613AC">
        <w:rPr>
          <w:color w:val="000000"/>
          <w:sz w:val="20"/>
          <w:szCs w:val="20"/>
        </w:rPr>
        <w:t xml:space="preserve">. </w:t>
      </w:r>
      <w:proofErr w:type="gramStart"/>
      <w:r w:rsidRPr="003613AC">
        <w:rPr>
          <w:color w:val="000000"/>
          <w:sz w:val="20"/>
          <w:szCs w:val="20"/>
        </w:rPr>
        <w:t>Large scale</w:t>
      </w:r>
      <w:proofErr w:type="gramEnd"/>
      <w:r w:rsidRPr="003613AC">
        <w:rPr>
          <w:color w:val="000000"/>
          <w:sz w:val="20"/>
          <w:szCs w:val="20"/>
        </w:rPr>
        <w:t xml:space="preserve"> permafrost degradation has been predicted for the 21st century in models by the Arctic </w:t>
      </w:r>
      <w:r w:rsidR="00546004">
        <w:rPr>
          <w:color w:val="000000"/>
          <w:sz w:val="20"/>
          <w:szCs w:val="20"/>
        </w:rPr>
        <w:t>Climate Impact Assessment [11</w:t>
      </w:r>
      <w:r w:rsidR="00F43D5F">
        <w:rPr>
          <w:color w:val="000000"/>
          <w:sz w:val="20"/>
          <w:szCs w:val="20"/>
        </w:rPr>
        <w:t>]</w:t>
      </w:r>
      <w:r w:rsidRPr="003613AC">
        <w:rPr>
          <w:color w:val="000000"/>
          <w:sz w:val="20"/>
          <w:szCs w:val="20"/>
        </w:rPr>
        <w:t xml:space="preserve">. </w:t>
      </w:r>
    </w:p>
    <w:p w14:paraId="3F2205BE" w14:textId="77777777" w:rsidR="003613AC" w:rsidRPr="003613AC" w:rsidRDefault="003613AC" w:rsidP="003613AC">
      <w:pPr>
        <w:pStyle w:val="NormalWeb"/>
        <w:spacing w:before="0" w:beforeAutospacing="0" w:after="0" w:afterAutospacing="0"/>
        <w:ind w:firstLine="720"/>
        <w:rPr>
          <w:sz w:val="20"/>
          <w:szCs w:val="20"/>
        </w:rPr>
      </w:pPr>
      <w:r w:rsidRPr="003613AC">
        <w:rPr>
          <w:color w:val="000000"/>
          <w:sz w:val="20"/>
          <w:szCs w:val="20"/>
        </w:rPr>
        <w:t>A more prevalent concern is the environmental and physical changes that would occur from positive or negative feedback of accelerated climate change. Changes in vegetation could include increased plant growth and vegetat</w:t>
      </w:r>
      <w:r w:rsidR="009D4F6E">
        <w:rPr>
          <w:color w:val="000000"/>
          <w:sz w:val="20"/>
          <w:szCs w:val="20"/>
        </w:rPr>
        <w:t>ion decomposition [9</w:t>
      </w:r>
      <w:r w:rsidR="00F43D5F">
        <w:rPr>
          <w:color w:val="000000"/>
          <w:sz w:val="20"/>
          <w:szCs w:val="20"/>
        </w:rPr>
        <w:t>]</w:t>
      </w:r>
      <w:r w:rsidRPr="003613AC">
        <w:rPr>
          <w:color w:val="000000"/>
          <w:sz w:val="20"/>
          <w:szCs w:val="20"/>
        </w:rPr>
        <w:t>. In correlation with the decomposition of vegetation, carbon released into the atmosphere has the potential to turn into carbon dioxide (CO2) or methane (CH4). The addition of carbon dioxide and methane to the atmosphere will create positive</w:t>
      </w:r>
      <w:r w:rsidR="009D4F6E">
        <w:rPr>
          <w:color w:val="000000"/>
          <w:sz w:val="20"/>
          <w:szCs w:val="20"/>
        </w:rPr>
        <w:t xml:space="preserve"> feedback to global warming [6, 7</w:t>
      </w:r>
      <w:r w:rsidR="00F43D5F">
        <w:rPr>
          <w:color w:val="000000"/>
          <w:sz w:val="20"/>
          <w:szCs w:val="20"/>
        </w:rPr>
        <w:t>]</w:t>
      </w:r>
      <w:r w:rsidRPr="003613AC">
        <w:rPr>
          <w:color w:val="000000"/>
          <w:sz w:val="20"/>
          <w:szCs w:val="20"/>
        </w:rPr>
        <w:t xml:space="preserve">. Scientists question whether the northern peatlands will remain an overall carbon sink or if they will shift to a carbon source. </w:t>
      </w:r>
    </w:p>
    <w:p w14:paraId="174329C9" w14:textId="77777777" w:rsidR="003613AC" w:rsidRPr="003613AC" w:rsidRDefault="003613AC" w:rsidP="003613AC">
      <w:pPr>
        <w:pStyle w:val="NormalWeb"/>
        <w:spacing w:before="0" w:beforeAutospacing="0" w:after="0" w:afterAutospacing="0"/>
        <w:ind w:firstLine="720"/>
        <w:rPr>
          <w:sz w:val="20"/>
          <w:szCs w:val="20"/>
        </w:rPr>
      </w:pPr>
      <w:r w:rsidRPr="003613AC">
        <w:rPr>
          <w:color w:val="000000"/>
          <w:sz w:val="20"/>
          <w:szCs w:val="20"/>
        </w:rPr>
        <w:t>A site of interest to help understand the effects that climate change has had on ar</w:t>
      </w:r>
      <w:r w:rsidR="001722F5">
        <w:rPr>
          <w:color w:val="000000"/>
          <w:sz w:val="20"/>
          <w:szCs w:val="20"/>
        </w:rPr>
        <w:t>ctic wetlands is the Stordalen M</w:t>
      </w:r>
      <w:r w:rsidRPr="003613AC">
        <w:rPr>
          <w:color w:val="000000"/>
          <w:sz w:val="20"/>
          <w:szCs w:val="20"/>
        </w:rPr>
        <w:t>ire located in northern Sweden. The mire is a heterogeneous landscape, where the vegetation varies due</w:t>
      </w:r>
      <w:r>
        <w:rPr>
          <w:color w:val="000000"/>
          <w:sz w:val="20"/>
          <w:szCs w:val="20"/>
        </w:rPr>
        <w:t xml:space="preserve"> to the site being in a zone of</w:t>
      </w:r>
      <w:r w:rsidRPr="003613AC">
        <w:rPr>
          <w:color w:val="000000"/>
          <w:sz w:val="20"/>
          <w:szCs w:val="20"/>
        </w:rPr>
        <w:t> discontinuous permafrost, which creates differences in plant life, moisture, nutrient and permafros</w:t>
      </w:r>
      <w:r w:rsidR="009D4F6E">
        <w:rPr>
          <w:color w:val="000000"/>
          <w:sz w:val="20"/>
          <w:szCs w:val="20"/>
        </w:rPr>
        <w:t>t statuses [9</w:t>
      </w:r>
      <w:r w:rsidR="00F43D5F">
        <w:rPr>
          <w:color w:val="000000"/>
          <w:sz w:val="20"/>
          <w:szCs w:val="20"/>
        </w:rPr>
        <w:t>]</w:t>
      </w:r>
      <w:r w:rsidRPr="003613AC">
        <w:rPr>
          <w:color w:val="000000"/>
          <w:sz w:val="20"/>
          <w:szCs w:val="20"/>
        </w:rPr>
        <w:t xml:space="preserve">. The hydrological component and climate temperature have </w:t>
      </w:r>
      <w:r w:rsidRPr="003613AC">
        <w:rPr>
          <w:color w:val="000000"/>
          <w:sz w:val="20"/>
          <w:szCs w:val="20"/>
        </w:rPr>
        <w:lastRenderedPageBreak/>
        <w:t xml:space="preserve">impacting effects on the environment and the atmospheric sink function of the </w:t>
      </w:r>
      <w:r w:rsidR="009D4F6E">
        <w:rPr>
          <w:color w:val="000000"/>
          <w:sz w:val="20"/>
          <w:szCs w:val="20"/>
        </w:rPr>
        <w:t>peatlands [9</w:t>
      </w:r>
      <w:r w:rsidR="00F43D5F">
        <w:rPr>
          <w:color w:val="000000"/>
          <w:sz w:val="20"/>
          <w:szCs w:val="20"/>
        </w:rPr>
        <w:t>]</w:t>
      </w:r>
      <w:r w:rsidRPr="003613AC">
        <w:rPr>
          <w:color w:val="000000"/>
          <w:sz w:val="20"/>
          <w:szCs w:val="20"/>
        </w:rPr>
        <w:t xml:space="preserve">.  The thawing of permafrost increases the hydrologic </w:t>
      </w:r>
      <w:proofErr w:type="gramStart"/>
      <w:r w:rsidRPr="003613AC">
        <w:rPr>
          <w:color w:val="000000"/>
          <w:sz w:val="20"/>
          <w:szCs w:val="20"/>
        </w:rPr>
        <w:t>levels which</w:t>
      </w:r>
      <w:proofErr w:type="gramEnd"/>
      <w:r w:rsidRPr="003613AC">
        <w:rPr>
          <w:color w:val="000000"/>
          <w:sz w:val="20"/>
          <w:szCs w:val="20"/>
        </w:rPr>
        <w:t xml:space="preserve"> produce more pond-lik</w:t>
      </w:r>
      <w:r w:rsidR="009D4F6E">
        <w:rPr>
          <w:color w:val="000000"/>
          <w:sz w:val="20"/>
          <w:szCs w:val="20"/>
        </w:rPr>
        <w:t>e areas [6</w:t>
      </w:r>
      <w:r w:rsidR="00F43D5F">
        <w:rPr>
          <w:color w:val="000000"/>
          <w:sz w:val="20"/>
          <w:szCs w:val="20"/>
        </w:rPr>
        <w:t>]</w:t>
      </w:r>
      <w:r w:rsidRPr="003613AC">
        <w:rPr>
          <w:color w:val="000000"/>
          <w:sz w:val="20"/>
          <w:szCs w:val="20"/>
        </w:rPr>
        <w:t>. It has been shown that moist</w:t>
      </w:r>
      <w:r w:rsidR="00F43D5F">
        <w:rPr>
          <w:color w:val="000000"/>
          <w:sz w:val="20"/>
          <w:szCs w:val="20"/>
        </w:rPr>
        <w:t>ure i</w:t>
      </w:r>
      <w:r w:rsidR="009D4F6E">
        <w:rPr>
          <w:color w:val="000000"/>
          <w:sz w:val="20"/>
          <w:szCs w:val="20"/>
        </w:rPr>
        <w:t>mpacts microbial activity [12</w:t>
      </w:r>
      <w:r w:rsidR="00F43D5F">
        <w:rPr>
          <w:color w:val="000000"/>
          <w:sz w:val="20"/>
          <w:szCs w:val="20"/>
        </w:rPr>
        <w:t>]</w:t>
      </w:r>
      <w:r w:rsidRPr="003613AC">
        <w:rPr>
          <w:color w:val="000000"/>
          <w:sz w:val="20"/>
          <w:szCs w:val="20"/>
        </w:rPr>
        <w:t>. The increase in moisture and nutrients due to the degradation of permafrost enhance conditions for CO2 and CH4 to be emitted in the atmo</w:t>
      </w:r>
      <w:r w:rsidR="009D4F6E">
        <w:rPr>
          <w:color w:val="000000"/>
          <w:sz w:val="20"/>
          <w:szCs w:val="20"/>
        </w:rPr>
        <w:t xml:space="preserve">sphere </w:t>
      </w:r>
      <w:bookmarkStart w:id="0" w:name="_GoBack"/>
      <w:bookmarkEnd w:id="0"/>
      <w:r w:rsidR="009D4F6E" w:rsidRPr="009F1301">
        <w:rPr>
          <w:color w:val="000000"/>
          <w:sz w:val="20"/>
          <w:szCs w:val="20"/>
        </w:rPr>
        <w:t>[16</w:t>
      </w:r>
      <w:r w:rsidR="00E61935" w:rsidRPr="009F1301">
        <w:rPr>
          <w:color w:val="000000"/>
          <w:sz w:val="20"/>
          <w:szCs w:val="20"/>
        </w:rPr>
        <w:t>]</w:t>
      </w:r>
      <w:r w:rsidRPr="009F1301">
        <w:rPr>
          <w:color w:val="000000"/>
          <w:sz w:val="20"/>
          <w:szCs w:val="20"/>
        </w:rPr>
        <w:t>.</w:t>
      </w:r>
    </w:p>
    <w:p w14:paraId="06A6BCBE" w14:textId="77777777" w:rsidR="003613AC" w:rsidRPr="003613AC" w:rsidRDefault="003613AC" w:rsidP="003613AC">
      <w:pPr>
        <w:pStyle w:val="NormalWeb"/>
        <w:spacing w:before="0" w:beforeAutospacing="0" w:after="240" w:afterAutospacing="0"/>
        <w:ind w:firstLine="720"/>
        <w:rPr>
          <w:sz w:val="20"/>
          <w:szCs w:val="20"/>
        </w:rPr>
      </w:pPr>
      <w:r w:rsidRPr="003613AC">
        <w:rPr>
          <w:color w:val="000000"/>
          <w:sz w:val="20"/>
          <w:szCs w:val="20"/>
        </w:rPr>
        <w:t>In this study, we performed a secondary data analysis of net ecosystem (CO</w:t>
      </w:r>
      <w:r w:rsidRPr="003613AC">
        <w:rPr>
          <w:color w:val="000000"/>
          <w:sz w:val="20"/>
          <w:szCs w:val="20"/>
          <w:vertAlign w:val="subscript"/>
        </w:rPr>
        <w:t>2</w:t>
      </w:r>
      <w:r w:rsidRPr="003613AC">
        <w:rPr>
          <w:color w:val="000000"/>
          <w:sz w:val="20"/>
          <w:szCs w:val="20"/>
        </w:rPr>
        <w:t xml:space="preserve">) exchange (NEE) measurements and environmental conditions (i.e. PAR, air and ground temperature) collected along a natural permafrost thaw gradient from DOY 121 - 260, year 2013. </w:t>
      </w:r>
    </w:p>
    <w:p w14:paraId="45A38BC1" w14:textId="77777777" w:rsidR="00CD1E91" w:rsidRDefault="00354BF6" w:rsidP="003613AC">
      <w:pPr>
        <w:pStyle w:val="Heading1"/>
      </w:pPr>
      <w:r>
        <w:rPr>
          <w:lang w:val="en-US"/>
        </w:rPr>
        <w:t xml:space="preserve">Methodology </w:t>
      </w:r>
    </w:p>
    <w:p w14:paraId="2E3556F0" w14:textId="77777777" w:rsidR="00CD1E91" w:rsidRDefault="00354BF6" w:rsidP="00354BF6">
      <w:pPr>
        <w:pStyle w:val="Heading2"/>
      </w:pPr>
      <w:r>
        <w:rPr>
          <w:lang w:val="en-US"/>
        </w:rPr>
        <w:t>Site Description</w:t>
      </w:r>
    </w:p>
    <w:p w14:paraId="4F54F746" w14:textId="77777777" w:rsidR="00354BF6" w:rsidRPr="00354BF6" w:rsidRDefault="001722F5" w:rsidP="00354BF6">
      <w:pPr>
        <w:pStyle w:val="NormalWeb"/>
        <w:spacing w:before="0" w:beforeAutospacing="0" w:after="0" w:afterAutospacing="0"/>
        <w:ind w:firstLine="720"/>
        <w:rPr>
          <w:sz w:val="20"/>
        </w:rPr>
      </w:pPr>
      <w:r>
        <w:rPr>
          <w:color w:val="000000"/>
          <w:sz w:val="20"/>
        </w:rPr>
        <w:t>Stordalen M</w:t>
      </w:r>
      <w:r w:rsidR="00354BF6" w:rsidRPr="00354BF6">
        <w:rPr>
          <w:color w:val="000000"/>
          <w:sz w:val="20"/>
        </w:rPr>
        <w:t>ire (10 km east of Abisko of northern Sweden (68° 21'N, 18° 49’E, altitude 363 m above sea level) has been the focus of many investigations and research concerning decadal vegetation, trace gas emissions, and climate change due to its location within the Arctic circle</w:t>
      </w:r>
      <w:r w:rsidR="009D4F6E">
        <w:rPr>
          <w:color w:val="000000"/>
          <w:sz w:val="20"/>
        </w:rPr>
        <w:t xml:space="preserve"> [6, 9, 12, 13, 14</w:t>
      </w:r>
      <w:r w:rsidR="00E61935">
        <w:rPr>
          <w:color w:val="000000"/>
          <w:sz w:val="20"/>
        </w:rPr>
        <w:t>, 1</w:t>
      </w:r>
      <w:r w:rsidR="009D4F6E">
        <w:rPr>
          <w:color w:val="000000"/>
          <w:sz w:val="20"/>
        </w:rPr>
        <w:t>5</w:t>
      </w:r>
      <w:r w:rsidR="00E61935">
        <w:rPr>
          <w:color w:val="000000"/>
          <w:sz w:val="20"/>
        </w:rPr>
        <w:t>]</w:t>
      </w:r>
      <w:r w:rsidR="00354BF6" w:rsidRPr="00354BF6">
        <w:rPr>
          <w:color w:val="000000"/>
          <w:sz w:val="20"/>
        </w:rPr>
        <w:t>. Stordalen is characterized as a palsa mire underlain w</w:t>
      </w:r>
      <w:r w:rsidR="00E61935">
        <w:rPr>
          <w:color w:val="000000"/>
          <w:sz w:val="20"/>
        </w:rPr>
        <w:t xml:space="preserve">ith patchy, sporadic permafrost. </w:t>
      </w:r>
      <w:r w:rsidR="00354BF6" w:rsidRPr="00354BF6">
        <w:rPr>
          <w:color w:val="000000"/>
          <w:sz w:val="20"/>
        </w:rPr>
        <w:t xml:space="preserve">The areas within the mire </w:t>
      </w:r>
      <w:r w:rsidR="00E61935">
        <w:rPr>
          <w:color w:val="000000"/>
          <w:sz w:val="20"/>
        </w:rPr>
        <w:t xml:space="preserve">nearby each other have a variety </w:t>
      </w:r>
      <w:r w:rsidR="00354BF6" w:rsidRPr="00354BF6">
        <w:rPr>
          <w:color w:val="000000"/>
          <w:sz w:val="20"/>
        </w:rPr>
        <w:t xml:space="preserve">of moisture and nutrient status </w:t>
      </w:r>
      <w:r w:rsidR="009D4F6E">
        <w:rPr>
          <w:color w:val="000000"/>
          <w:sz w:val="20"/>
        </w:rPr>
        <w:t>ranges [9</w:t>
      </w:r>
      <w:r w:rsidR="00E61935">
        <w:rPr>
          <w:color w:val="000000"/>
          <w:sz w:val="20"/>
        </w:rPr>
        <w:t>]</w:t>
      </w:r>
      <w:r w:rsidR="00354BF6" w:rsidRPr="00354BF6">
        <w:rPr>
          <w:color w:val="000000"/>
          <w:sz w:val="20"/>
        </w:rPr>
        <w:t xml:space="preserve">. </w:t>
      </w:r>
    </w:p>
    <w:p w14:paraId="099F1A37" w14:textId="77777777" w:rsidR="00354BF6" w:rsidRPr="00354BF6" w:rsidRDefault="007438C0" w:rsidP="00354BF6">
      <w:pPr>
        <w:pStyle w:val="NormalWeb"/>
        <w:spacing w:before="0" w:beforeAutospacing="0" w:after="0" w:afterAutospacing="0"/>
        <w:ind w:firstLine="720"/>
        <w:rPr>
          <w:sz w:val="20"/>
        </w:rPr>
      </w:pPr>
      <w:r>
        <w:rPr>
          <w:color w:val="000000"/>
          <w:sz w:val="20"/>
        </w:rPr>
        <w:t>The annual temperature at Abisko Scientific Research Station</w:t>
      </w:r>
      <w:r w:rsidR="00354BF6" w:rsidRPr="00354BF6">
        <w:rPr>
          <w:color w:val="000000"/>
          <w:sz w:val="20"/>
        </w:rPr>
        <w:t xml:space="preserve"> of 0.07°C with 308 mm of accumulated precipitation (1986</w:t>
      </w:r>
      <w:r w:rsidR="009D4F6E">
        <w:rPr>
          <w:color w:val="000000"/>
          <w:sz w:val="20"/>
        </w:rPr>
        <w:t>-2006 20 year mean) [15</w:t>
      </w:r>
      <w:r w:rsidR="00E61935">
        <w:rPr>
          <w:color w:val="000000"/>
          <w:sz w:val="20"/>
        </w:rPr>
        <w:t>]</w:t>
      </w:r>
      <w:r w:rsidR="00354BF6" w:rsidRPr="00354BF6">
        <w:rPr>
          <w:color w:val="000000"/>
          <w:sz w:val="20"/>
        </w:rPr>
        <w:t>. The research focused on three different sub-habitats that have the most dominant presence in Stordalen and common to northern wetlands. The three communities are i) drained palsas underneath woody herbaceous (permafrost), ii) intermediate permafrost sites where the water table fluctuates close to the ground, dominated by Sphagnum, and iii) wet sites where the ground completely thawed in the summer, wet areas containing Eriophorum. For the sake of this research we will refer to the three sites as the palsa site, Sphagnum site, and Eriophorum site. Together, the three vegetation comm</w:t>
      </w:r>
      <w:r w:rsidR="001722F5">
        <w:rPr>
          <w:color w:val="000000"/>
          <w:sz w:val="20"/>
        </w:rPr>
        <w:t>unities cover 98% of Stordalen M</w:t>
      </w:r>
      <w:r w:rsidR="00354BF6" w:rsidRPr="00354BF6">
        <w:rPr>
          <w:color w:val="000000"/>
          <w:sz w:val="20"/>
        </w:rPr>
        <w:t xml:space="preserve">ire.  The palsa site coverage extends 49% of </w:t>
      </w:r>
      <w:proofErr w:type="gramStart"/>
      <w:r w:rsidR="00354BF6" w:rsidRPr="00354BF6">
        <w:rPr>
          <w:color w:val="000000"/>
          <w:sz w:val="20"/>
        </w:rPr>
        <w:t>Stordalen,</w:t>
      </w:r>
      <w:proofErr w:type="gramEnd"/>
      <w:r w:rsidR="00354BF6" w:rsidRPr="00354BF6">
        <w:rPr>
          <w:color w:val="000000"/>
          <w:sz w:val="20"/>
        </w:rPr>
        <w:t xml:space="preserve"> the Sphagnum site expands over 37%, and Eriop</w:t>
      </w:r>
      <w:r w:rsidR="009D4F6E">
        <w:rPr>
          <w:color w:val="000000"/>
          <w:sz w:val="20"/>
        </w:rPr>
        <w:t>horum reach 12% of the mire [14</w:t>
      </w:r>
      <w:r w:rsidR="00D67753">
        <w:rPr>
          <w:color w:val="000000"/>
          <w:sz w:val="20"/>
        </w:rPr>
        <w:t>]</w:t>
      </w:r>
      <w:r w:rsidR="00354BF6" w:rsidRPr="00354BF6">
        <w:rPr>
          <w:color w:val="000000"/>
          <w:sz w:val="20"/>
        </w:rPr>
        <w:t>. The fourth site is a transition collar between the</w:t>
      </w:r>
      <w:r w:rsidR="00D67753">
        <w:rPr>
          <w:color w:val="000000"/>
          <w:sz w:val="20"/>
        </w:rPr>
        <w:t xml:space="preserve"> E</w:t>
      </w:r>
      <w:r w:rsidR="009D4F6E">
        <w:rPr>
          <w:color w:val="000000"/>
          <w:sz w:val="20"/>
        </w:rPr>
        <w:t>riophorum and Sphagnum sites [10</w:t>
      </w:r>
      <w:r w:rsidR="00D67753">
        <w:rPr>
          <w:color w:val="000000"/>
          <w:sz w:val="20"/>
        </w:rPr>
        <w:t>]</w:t>
      </w:r>
      <w:r w:rsidR="00354BF6" w:rsidRPr="00354BF6">
        <w:rPr>
          <w:color w:val="000000"/>
          <w:sz w:val="20"/>
        </w:rPr>
        <w:t>.</w:t>
      </w:r>
    </w:p>
    <w:p w14:paraId="37BD6508" w14:textId="77777777" w:rsidR="00354BF6" w:rsidRPr="00354BF6" w:rsidRDefault="00354BF6" w:rsidP="00354BF6">
      <w:pPr>
        <w:pStyle w:val="NormalWeb"/>
        <w:spacing w:before="0" w:beforeAutospacing="0" w:after="0" w:afterAutospacing="0"/>
        <w:rPr>
          <w:sz w:val="20"/>
        </w:rPr>
      </w:pPr>
      <w:r w:rsidRPr="00354BF6">
        <w:rPr>
          <w:color w:val="000000"/>
          <w:sz w:val="20"/>
        </w:rPr>
        <w:t>       </w:t>
      </w:r>
      <w:r w:rsidRPr="00354BF6">
        <w:rPr>
          <w:rStyle w:val="apple-tab-span"/>
          <w:color w:val="000000"/>
          <w:sz w:val="20"/>
        </w:rPr>
        <w:tab/>
      </w:r>
      <w:r w:rsidRPr="00354BF6">
        <w:rPr>
          <w:color w:val="000000"/>
          <w:sz w:val="20"/>
        </w:rPr>
        <w:t xml:space="preserve"> </w:t>
      </w:r>
    </w:p>
    <w:p w14:paraId="77D9AE75" w14:textId="77777777" w:rsidR="00CD1E91" w:rsidRDefault="00354BF6" w:rsidP="00354BF6">
      <w:pPr>
        <w:pStyle w:val="Heading2"/>
      </w:pPr>
      <w:r>
        <w:t xml:space="preserve"> </w:t>
      </w:r>
      <w:r w:rsidR="001F310F">
        <w:rPr>
          <w:lang w:val="en-US"/>
        </w:rPr>
        <w:t xml:space="preserve">Automatic Chamber System </w:t>
      </w:r>
      <w:r w:rsidR="00CD3246">
        <w:rPr>
          <w:lang w:val="en-US"/>
        </w:rPr>
        <w:t>and Quantum Cascade Laser Spectrometer Measurements</w:t>
      </w:r>
    </w:p>
    <w:p w14:paraId="7506B470" w14:textId="77777777" w:rsidR="00CD1E91" w:rsidRDefault="00CD1E91" w:rsidP="00FA260E">
      <w:pPr>
        <w:pStyle w:val="bulletlist"/>
        <w:numPr>
          <w:ilvl w:val="0"/>
          <w:numId w:val="0"/>
        </w:numPr>
        <w:ind w:firstLine="288"/>
        <w:jc w:val="left"/>
      </w:pPr>
      <w:r>
        <w:t>The automatic chamber system has been fully described in earlier papers</w:t>
      </w:r>
      <w:r w:rsidR="009D4F6E">
        <w:t xml:space="preserve"> [15, 17</w:t>
      </w:r>
      <w:r w:rsidR="00983E56">
        <w:t>]</w:t>
      </w:r>
      <w:r>
        <w:t>. The chamber system was updated in 2011 with the addition of a ninth chamber [(n = 3 each at the Palsa and Sphagnum site, n = 2 Eriophorum site, n = 1 at the Eriophorum/Sphagnum collar, designated as Ch. 9). The chambers are closed every 3 hours for 5 minutes, approximately 3% of everyday.</w:t>
      </w:r>
    </w:p>
    <w:p w14:paraId="1D45294C" w14:textId="77777777" w:rsidR="00CD1E91" w:rsidRDefault="00CD3246" w:rsidP="00CD3246">
      <w:pPr>
        <w:pStyle w:val="Heading2"/>
      </w:pPr>
      <w:r w:rsidRPr="00CD3246">
        <w:t>Measurements of Net Eco</w:t>
      </w:r>
      <w:r w:rsidR="00A1167F">
        <w:t>system (CO</w:t>
      </w:r>
      <w:r w:rsidR="00A1167F">
        <w:rPr>
          <w:vertAlign w:val="subscript"/>
          <w:lang w:val="en-US"/>
        </w:rPr>
        <w:t>2</w:t>
      </w:r>
      <w:r w:rsidRPr="00CD3246">
        <w:t>) Exchange</w:t>
      </w:r>
    </w:p>
    <w:p w14:paraId="014DFEC9" w14:textId="77777777" w:rsidR="00CD3246" w:rsidRDefault="00CD3246" w:rsidP="00CD3246">
      <w:pPr>
        <w:pStyle w:val="BodyText"/>
      </w:pPr>
      <w:r w:rsidRPr="00CD3246">
        <w:t xml:space="preserve">The NEE between an ecosystem and the atmosphere is the net result of the competing flux processes of gross primary </w:t>
      </w:r>
      <w:r w:rsidRPr="00CD3246">
        <w:lastRenderedPageBreak/>
        <w:t>pro</w:t>
      </w:r>
      <w:r w:rsidR="00A1167F">
        <w:t>duction (GPP, photosynthetic CO</w:t>
      </w:r>
      <w:r w:rsidR="00A1167F">
        <w:rPr>
          <w:vertAlign w:val="subscript"/>
        </w:rPr>
        <w:t>2</w:t>
      </w:r>
      <w:r w:rsidRPr="00CD3246">
        <w:t xml:space="preserve"> uptake) and total ecosystem respiration (TER, a</w:t>
      </w:r>
      <w:r w:rsidR="00A1167F">
        <w:t>utotrophic and heterotrophic CO</w:t>
      </w:r>
      <w:r w:rsidR="00A1167F">
        <w:rPr>
          <w:vertAlign w:val="subscript"/>
        </w:rPr>
        <w:t>2</w:t>
      </w:r>
      <w:r w:rsidRPr="00CD3246">
        <w:t xml:space="preserve"> pro</w:t>
      </w:r>
      <w:r w:rsidR="00A1167F">
        <w:t xml:space="preserve">duction). Net </w:t>
      </w:r>
      <w:proofErr w:type="gramStart"/>
      <w:r w:rsidR="00A1167F">
        <w:t>uptake of CO</w:t>
      </w:r>
      <w:r w:rsidR="00A1167F">
        <w:rPr>
          <w:vertAlign w:val="subscript"/>
        </w:rPr>
        <w:t>2</w:t>
      </w:r>
      <w:r w:rsidRPr="00CD3246">
        <w:t xml:space="preserve"> fluxes were</w:t>
      </w:r>
      <w:proofErr w:type="gramEnd"/>
      <w:r w:rsidRPr="00CD3246">
        <w:t xml:space="preserve"> calculated using</w:t>
      </w:r>
      <w:r w:rsidR="00FA260E">
        <w:t xml:space="preserve"> the standard procedure. </w:t>
      </w:r>
      <w:r w:rsidRPr="00CD3246">
        <w:t xml:space="preserve">All fluxes (positive </w:t>
      </w:r>
      <w:r w:rsidR="00810AA7">
        <w:t>or negative; n = 13,527) with r</w:t>
      </w:r>
      <w:r w:rsidR="00810AA7">
        <w:rPr>
          <w:vertAlign w:val="superscript"/>
        </w:rPr>
        <w:t>2</w:t>
      </w:r>
      <w:r w:rsidRPr="00CD3246">
        <w:t xml:space="preserve"> &lt; 0.87 (minimum necessary for 95% confidence limits) were eliminated, resulting in 47% of the data being discarded (n = 6,411).  </w:t>
      </w:r>
    </w:p>
    <w:p w14:paraId="28342503" w14:textId="77777777" w:rsidR="00CD1E91" w:rsidRDefault="00CD3246" w:rsidP="00CD3246">
      <w:pPr>
        <w:pStyle w:val="Heading2"/>
      </w:pPr>
      <w:r>
        <w:t>Environmental Variables</w:t>
      </w:r>
    </w:p>
    <w:p w14:paraId="737C9C36" w14:textId="77777777" w:rsidR="00CD3246" w:rsidRDefault="00CD3246" w:rsidP="00CD3246">
      <w:pPr>
        <w:pStyle w:val="BodyText"/>
        <w:rPr>
          <w:lang w:val="en-US" w:eastAsia="en-US"/>
        </w:rPr>
      </w:pPr>
      <w:r w:rsidRPr="00CD3246">
        <w:rPr>
          <w:lang w:val="en-US" w:eastAsia="en-US"/>
        </w:rPr>
        <w:t>In addition to the trace gas data, ground and air temperature were recorded within each chamber, while photosynthetically active radiation (PAR) was measured at the top of the automatic chamber system shelter. The data was continuously logged by the automatic chamber system previously described.</w:t>
      </w:r>
    </w:p>
    <w:p w14:paraId="0E81AAD6" w14:textId="77777777" w:rsidR="00CD3246" w:rsidRDefault="00CD3246" w:rsidP="00CD3246">
      <w:pPr>
        <w:pStyle w:val="BodyText"/>
        <w:ind w:firstLine="0"/>
        <w:rPr>
          <w:lang w:val="en-US" w:eastAsia="en-US"/>
        </w:rPr>
      </w:pPr>
    </w:p>
    <w:p w14:paraId="1F837C21" w14:textId="77777777" w:rsidR="00CD3246" w:rsidRDefault="00CD3246" w:rsidP="00CD3246">
      <w:pPr>
        <w:pStyle w:val="Heading2"/>
        <w:rPr>
          <w:lang w:val="en-US"/>
        </w:rPr>
      </w:pPr>
      <w:r>
        <w:rPr>
          <w:lang w:val="en-US"/>
        </w:rPr>
        <w:t>Data Analysis</w:t>
      </w:r>
    </w:p>
    <w:p w14:paraId="123DD429" w14:textId="77777777" w:rsidR="00CD3246" w:rsidRPr="00CD3246" w:rsidRDefault="00CD3246" w:rsidP="00CD3246">
      <w:pPr>
        <w:pStyle w:val="BodyText"/>
        <w:rPr>
          <w:lang w:eastAsia="en-US"/>
        </w:rPr>
      </w:pPr>
      <w:r w:rsidRPr="00CD3246">
        <w:rPr>
          <w:lang w:eastAsia="en-US"/>
        </w:rPr>
        <w:t>We</w:t>
      </w:r>
      <w:r w:rsidR="00810AA7">
        <w:rPr>
          <w:lang w:eastAsia="en-US"/>
        </w:rPr>
        <w:t xml:space="preserve"> distinguished day and night CO</w:t>
      </w:r>
      <w:r w:rsidR="00810AA7">
        <w:rPr>
          <w:vertAlign w:val="subscript"/>
          <w:lang w:eastAsia="en-US"/>
        </w:rPr>
        <w:t>2</w:t>
      </w:r>
      <w:r w:rsidRPr="00CD3246">
        <w:rPr>
          <w:lang w:eastAsia="en-US"/>
        </w:rPr>
        <w:t xml:space="preserve"> fluxes to account for diurnal fluctuations. The sun does not set during this time of year in areas located 180</w:t>
      </w:r>
      <w:r w:rsidR="00FA260E">
        <w:rPr>
          <w:lang w:eastAsia="en-US"/>
        </w:rPr>
        <w:t xml:space="preserve"> </w:t>
      </w:r>
      <w:r w:rsidRPr="00CD3246">
        <w:rPr>
          <w:lang w:eastAsia="en-US"/>
        </w:rPr>
        <w:t>km above the Arctic Circle, but during the period where the sun is at its lowest angle, calm cool periods are induced due to surface cooling.  Based on light and te</w:t>
      </w:r>
      <w:r w:rsidR="00F10EA6">
        <w:rPr>
          <w:lang w:eastAsia="en-US"/>
        </w:rPr>
        <w:t xml:space="preserve">mperature variability during </w:t>
      </w:r>
      <w:proofErr w:type="gramStart"/>
      <w:r w:rsidR="00F10EA6">
        <w:rPr>
          <w:lang w:eastAsia="en-US"/>
        </w:rPr>
        <w:t xml:space="preserve">24 </w:t>
      </w:r>
      <w:r w:rsidRPr="00CD3246">
        <w:rPr>
          <w:lang w:eastAsia="en-US"/>
        </w:rPr>
        <w:t>hour</w:t>
      </w:r>
      <w:proofErr w:type="gramEnd"/>
      <w:r w:rsidRPr="00CD3246">
        <w:rPr>
          <w:lang w:eastAsia="en-US"/>
        </w:rPr>
        <w:t xml:space="preserve"> periods, daytime was determined to be from 10:30 am to 3:30 pm and night time was from 9:30 </w:t>
      </w:r>
      <w:r w:rsidR="00030BAE">
        <w:rPr>
          <w:lang w:eastAsia="en-US"/>
        </w:rPr>
        <w:t xml:space="preserve">pm to 2:30 am </w:t>
      </w:r>
      <w:r w:rsidR="009D4F6E">
        <w:rPr>
          <w:lang w:eastAsia="en-US"/>
        </w:rPr>
        <w:t>[10</w:t>
      </w:r>
      <w:r w:rsidR="00810AA7">
        <w:rPr>
          <w:lang w:eastAsia="en-US"/>
        </w:rPr>
        <w:t>]. For this study, CO</w:t>
      </w:r>
      <w:r w:rsidR="00810AA7">
        <w:rPr>
          <w:vertAlign w:val="subscript"/>
          <w:lang w:eastAsia="en-US"/>
        </w:rPr>
        <w:t>2</w:t>
      </w:r>
      <w:r w:rsidRPr="00CD3246">
        <w:rPr>
          <w:lang w:eastAsia="en-US"/>
        </w:rPr>
        <w:t xml:space="preserve"> uptake by the ecosy</w:t>
      </w:r>
      <w:r w:rsidR="00810AA7">
        <w:rPr>
          <w:lang w:eastAsia="en-US"/>
        </w:rPr>
        <w:t>stem is negative and emitted CO</w:t>
      </w:r>
      <w:r w:rsidR="00810AA7">
        <w:rPr>
          <w:vertAlign w:val="subscript"/>
          <w:lang w:eastAsia="en-US"/>
        </w:rPr>
        <w:t>2</w:t>
      </w:r>
      <w:r w:rsidRPr="00CD3246">
        <w:rPr>
          <w:lang w:eastAsia="en-US"/>
        </w:rPr>
        <w:t xml:space="preserve"> is positive. </w:t>
      </w:r>
    </w:p>
    <w:p w14:paraId="6900D806" w14:textId="77777777" w:rsidR="006E0408" w:rsidRPr="006E0408" w:rsidRDefault="006E0408" w:rsidP="006E0408">
      <w:pPr>
        <w:pStyle w:val="BodyText"/>
        <w:rPr>
          <w:lang w:val="en-US" w:eastAsia="en-US"/>
        </w:rPr>
      </w:pPr>
      <w:r>
        <w:rPr>
          <w:color w:val="000000"/>
        </w:rPr>
        <w:t>.</w:t>
      </w:r>
    </w:p>
    <w:p w14:paraId="606C41AF" w14:textId="77777777" w:rsidR="007E48D8" w:rsidRDefault="007E48D8" w:rsidP="007E48D8">
      <w:pPr>
        <w:pStyle w:val="Heading1"/>
        <w:rPr>
          <w:lang w:val="en-US"/>
        </w:rPr>
      </w:pPr>
      <w:r>
        <w:rPr>
          <w:lang w:val="en-US"/>
        </w:rPr>
        <w:t>Conc</w:t>
      </w:r>
      <w:r w:rsidR="002B7959">
        <w:rPr>
          <w:lang w:val="en-US"/>
        </w:rPr>
        <w:t>lusion</w:t>
      </w:r>
    </w:p>
    <w:p w14:paraId="3420B8CE" w14:textId="77777777" w:rsidR="007E48D8" w:rsidRDefault="00C30917" w:rsidP="007E48D8">
      <w:pPr>
        <w:pStyle w:val="BodyText"/>
        <w:rPr>
          <w:lang w:eastAsia="en-US"/>
        </w:rPr>
      </w:pPr>
      <w:r w:rsidRPr="00C30917">
        <w:rPr>
          <w:lang w:eastAsia="en-US"/>
        </w:rPr>
        <w:t>The purpose of this research was to determine whether or not the Stordalen Mire would maintain the status of an atmospheric C sink or become an atmospheric C source after the effects of climate change. In conclusion, the data for the green season of 2013 revealed that the entire Stordalen Mire site remained a carbon sink. The calculated mean of NEE was recorded as -32.207 mgCm-2h-1 for the whole peatland showing consistent uptake during the green season. The same can be concluded for each individual si</w:t>
      </w:r>
      <w:r>
        <w:rPr>
          <w:lang w:eastAsia="en-US"/>
        </w:rPr>
        <w:t xml:space="preserve">te within mire. The palsa site </w:t>
      </w:r>
      <w:r w:rsidRPr="00C30917">
        <w:rPr>
          <w:lang w:eastAsia="en-US"/>
        </w:rPr>
        <w:t>recorded -0.394 mgCm-2h-</w:t>
      </w:r>
      <w:proofErr w:type="gramStart"/>
      <w:r w:rsidRPr="00C30917">
        <w:rPr>
          <w:lang w:eastAsia="en-US"/>
        </w:rPr>
        <w:t>1 which</w:t>
      </w:r>
      <w:proofErr w:type="gramEnd"/>
      <w:r w:rsidRPr="00C30917">
        <w:rPr>
          <w:lang w:eastAsia="en-US"/>
        </w:rPr>
        <w:t xml:space="preserve"> was the lowest atmospheric sink site. Next came the Sphagnum site with -22.12 mgCm-2h-1. The highest average C uptake present in the mire was found at the Eriophorum site with -49.935 mgCm-2h-1 and the Eriophorum/Sphagnum (Ch.9) site with -87.196 mgCm-2h-1.  The Eriophorum and Ch.9 sites were the largest carbon sinks of the mire, with the transition collar, Ch. 9, having the largest uptake of CO2. The regression analysis performed showed that out of the three environmental variables tested, PAR explained most of the data with the highest r2 value for the whole mire and each individual site. This could be due to the strong impact photosynthesis has on the uptake of carbon.</w:t>
      </w:r>
    </w:p>
    <w:p w14:paraId="665E95B1" w14:textId="77777777" w:rsidR="00C30917" w:rsidRDefault="00C30917" w:rsidP="00C30917">
      <w:pPr>
        <w:pStyle w:val="Heading1"/>
        <w:rPr>
          <w:lang w:val="en-US"/>
        </w:rPr>
      </w:pPr>
      <w:r>
        <w:rPr>
          <w:lang w:val="en-US"/>
        </w:rPr>
        <w:t>Future Works</w:t>
      </w:r>
    </w:p>
    <w:p w14:paraId="55A1A5DB" w14:textId="77777777" w:rsidR="00C30917" w:rsidRPr="00C30917" w:rsidRDefault="00C30917" w:rsidP="00C30917">
      <w:pPr>
        <w:pStyle w:val="BodyText"/>
        <w:rPr>
          <w:lang w:eastAsia="en-US"/>
        </w:rPr>
      </w:pPr>
      <w:r w:rsidRPr="00C30917">
        <w:rPr>
          <w:lang w:eastAsia="en-US"/>
        </w:rPr>
        <w:t>For the future work we plan to study the water table de</w:t>
      </w:r>
      <w:r>
        <w:rPr>
          <w:lang w:eastAsia="en-US"/>
        </w:rPr>
        <w:t xml:space="preserve">pth to have an understanding of </w:t>
      </w:r>
      <w:r w:rsidRPr="00C30917">
        <w:rPr>
          <w:lang w:eastAsia="en-US"/>
        </w:rPr>
        <w:t>the hy</w:t>
      </w:r>
      <w:r>
        <w:rPr>
          <w:lang w:eastAsia="en-US"/>
        </w:rPr>
        <w:t>drology of the sites. H</w:t>
      </w:r>
      <w:r w:rsidRPr="00C30917">
        <w:rPr>
          <w:lang w:eastAsia="en-US"/>
        </w:rPr>
        <w:t>ydrologic</w:t>
      </w:r>
      <w:r>
        <w:rPr>
          <w:lang w:eastAsia="en-US"/>
        </w:rPr>
        <w:t>al</w:t>
      </w:r>
      <w:r w:rsidR="004270A1">
        <w:rPr>
          <w:lang w:eastAsia="en-US"/>
        </w:rPr>
        <w:t xml:space="preserve"> functions</w:t>
      </w:r>
      <w:r>
        <w:rPr>
          <w:lang w:eastAsia="en-US"/>
        </w:rPr>
        <w:t xml:space="preserve"> </w:t>
      </w:r>
      <w:r w:rsidRPr="00C30917">
        <w:rPr>
          <w:lang w:eastAsia="en-US"/>
        </w:rPr>
        <w:t>influence microbial communities that</w:t>
      </w:r>
      <w:r>
        <w:rPr>
          <w:lang w:eastAsia="en-US"/>
        </w:rPr>
        <w:t xml:space="preserve"> can have an effect on</w:t>
      </w:r>
      <w:r w:rsidRPr="00C30917">
        <w:rPr>
          <w:lang w:eastAsia="en-US"/>
        </w:rPr>
        <w:t xml:space="preserve"> </w:t>
      </w:r>
      <w:r>
        <w:rPr>
          <w:lang w:eastAsia="en-US"/>
        </w:rPr>
        <w:t>the production either CO</w:t>
      </w:r>
      <w:r>
        <w:rPr>
          <w:vertAlign w:val="subscript"/>
          <w:lang w:eastAsia="en-US"/>
        </w:rPr>
        <w:t>2</w:t>
      </w:r>
      <w:r>
        <w:rPr>
          <w:lang w:eastAsia="en-US"/>
        </w:rPr>
        <w:t xml:space="preserve"> or CH</w:t>
      </w:r>
      <w:r>
        <w:rPr>
          <w:vertAlign w:val="subscript"/>
          <w:lang w:eastAsia="en-US"/>
        </w:rPr>
        <w:t>4</w:t>
      </w:r>
      <w:r w:rsidRPr="00C30917">
        <w:rPr>
          <w:lang w:eastAsia="en-US"/>
        </w:rPr>
        <w:t xml:space="preserve">. The water table depth also provides clarity to the extent of the </w:t>
      </w:r>
      <w:r w:rsidRPr="00C30917">
        <w:rPr>
          <w:lang w:eastAsia="en-US"/>
        </w:rPr>
        <w:lastRenderedPageBreak/>
        <w:t>permafrost thaw. In addition to the water table depth, we also plan to look at m</w:t>
      </w:r>
      <w:r>
        <w:rPr>
          <w:lang w:eastAsia="en-US"/>
        </w:rPr>
        <w:t xml:space="preserve">easurements of the active layer. </w:t>
      </w:r>
      <w:r w:rsidRPr="00C30917">
        <w:rPr>
          <w:lang w:eastAsia="en-US"/>
        </w:rPr>
        <w:t>The active layer depth increases as the permafrost thaws. Documentation of the changes in the active layer on an extensive period of time can indicate the amount of permafrost that is lost. Both of these would be used as environmental variables to further develop insight on their effect on NEE.</w:t>
      </w:r>
    </w:p>
    <w:p w14:paraId="35649462" w14:textId="77777777" w:rsidR="00CD1E91" w:rsidRDefault="00CD1E91">
      <w:pPr>
        <w:pStyle w:val="Heading1"/>
        <w:numPr>
          <w:ilvl w:val="0"/>
          <w:numId w:val="0"/>
        </w:numPr>
      </w:pPr>
      <w:r>
        <w:t>Acknowledgment</w:t>
      </w:r>
    </w:p>
    <w:p w14:paraId="6E9D3490" w14:textId="77777777" w:rsidR="00CD1E91" w:rsidRDefault="00386262">
      <w:pPr>
        <w:pStyle w:val="BodyText"/>
      </w:pPr>
      <w:r>
        <w:t>The Arctic team thanks Dr. Linda Hayden who served as</w:t>
      </w:r>
      <w:r w:rsidR="000152CA">
        <w:t xml:space="preserve"> the director of the Elizabeth City State University Research Experience for Underg</w:t>
      </w:r>
      <w:r w:rsidR="004D1ADE">
        <w:t>raduates Program as well as the</w:t>
      </w:r>
      <w:r>
        <w:t xml:space="preserve"> principal investigator to the research; Dr. Patrick Crill, who corresponded with the team during the research process; and Mr. Ryan Lawrence, mentor of the Arctic Team. The team would also like to acknowledge CReSIS and the National Science foundation for funding the research. </w:t>
      </w:r>
    </w:p>
    <w:p w14:paraId="1FF664A9" w14:textId="77777777" w:rsidR="00CD1E91" w:rsidRDefault="00CD1E91">
      <w:pPr>
        <w:pStyle w:val="Heading1"/>
        <w:numPr>
          <w:ilvl w:val="0"/>
          <w:numId w:val="0"/>
        </w:numPr>
      </w:pPr>
      <w:r>
        <w:t>References</w:t>
      </w:r>
    </w:p>
    <w:p w14:paraId="4A80740C"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[1]</w:t>
      </w:r>
      <w:r w:rsidRPr="00FB71B4">
        <w:rPr>
          <w:rFonts w:ascii="Times" w:eastAsia="MS Mincho" w:hAnsi="Times"/>
          <w:lang w:eastAsia="en-US"/>
        </w:rPr>
        <w:tab/>
        <w:t xml:space="preserve">E. a G. Schuur, J. </w:t>
      </w:r>
      <w:proofErr w:type="spellStart"/>
      <w:r w:rsidRPr="00FB71B4">
        <w:rPr>
          <w:rFonts w:ascii="Times" w:eastAsia="MS Mincho" w:hAnsi="Times"/>
          <w:lang w:eastAsia="en-US"/>
        </w:rPr>
        <w:t>Bockheim</w:t>
      </w:r>
      <w:proofErr w:type="spellEnd"/>
      <w:r w:rsidRPr="00FB71B4">
        <w:rPr>
          <w:rFonts w:ascii="Times" w:eastAsia="MS Mincho" w:hAnsi="Times"/>
          <w:lang w:eastAsia="en-US"/>
        </w:rPr>
        <w:t xml:space="preserve">, J. </w:t>
      </w:r>
      <w:proofErr w:type="spellStart"/>
      <w:r w:rsidRPr="00FB71B4">
        <w:rPr>
          <w:rFonts w:ascii="Times" w:eastAsia="MS Mincho" w:hAnsi="Times"/>
          <w:lang w:eastAsia="en-US"/>
        </w:rPr>
        <w:t>Canadell</w:t>
      </w:r>
      <w:proofErr w:type="spellEnd"/>
      <w:r w:rsidRPr="00FB71B4">
        <w:rPr>
          <w:rFonts w:ascii="Times" w:eastAsia="MS Mincho" w:hAnsi="Times"/>
          <w:lang w:eastAsia="en-US"/>
        </w:rPr>
        <w:t xml:space="preserve">, E. </w:t>
      </w:r>
      <w:proofErr w:type="spellStart"/>
      <w:r w:rsidRPr="00FB71B4">
        <w:rPr>
          <w:rFonts w:ascii="Times" w:eastAsia="MS Mincho" w:hAnsi="Times"/>
          <w:lang w:eastAsia="en-US"/>
        </w:rPr>
        <w:t>Euskirchen</w:t>
      </w:r>
      <w:proofErr w:type="spellEnd"/>
      <w:r w:rsidRPr="00FB71B4">
        <w:rPr>
          <w:rFonts w:ascii="Times" w:eastAsia="MS Mincho" w:hAnsi="Times"/>
          <w:lang w:eastAsia="en-US"/>
        </w:rPr>
        <w:t xml:space="preserve">, C. B. Field, S. V </w:t>
      </w:r>
      <w:proofErr w:type="spellStart"/>
      <w:r w:rsidRPr="00FB71B4">
        <w:rPr>
          <w:rFonts w:ascii="Times" w:eastAsia="MS Mincho" w:hAnsi="Times"/>
          <w:lang w:eastAsia="en-US"/>
        </w:rPr>
        <w:t>Goryachkin</w:t>
      </w:r>
      <w:proofErr w:type="spellEnd"/>
      <w:r w:rsidRPr="00FB71B4">
        <w:rPr>
          <w:rFonts w:ascii="Times" w:eastAsia="MS Mincho" w:hAnsi="Times"/>
          <w:lang w:eastAsia="en-US"/>
        </w:rPr>
        <w:t xml:space="preserve">, S. </w:t>
      </w:r>
      <w:proofErr w:type="spellStart"/>
      <w:r w:rsidRPr="00FB71B4">
        <w:rPr>
          <w:rFonts w:ascii="Times" w:eastAsia="MS Mincho" w:hAnsi="Times"/>
          <w:lang w:eastAsia="en-US"/>
        </w:rPr>
        <w:t>Hagemann</w:t>
      </w:r>
      <w:proofErr w:type="spellEnd"/>
      <w:r w:rsidRPr="00FB71B4">
        <w:rPr>
          <w:rFonts w:ascii="Times" w:eastAsia="MS Mincho" w:hAnsi="Times"/>
          <w:lang w:eastAsia="en-US"/>
        </w:rPr>
        <w:t xml:space="preserve">, P. </w:t>
      </w:r>
      <w:proofErr w:type="spellStart"/>
      <w:r w:rsidRPr="00FB71B4">
        <w:rPr>
          <w:rFonts w:ascii="Times" w:eastAsia="MS Mincho" w:hAnsi="Times"/>
          <w:lang w:eastAsia="en-US"/>
        </w:rPr>
        <w:t>Kuhry</w:t>
      </w:r>
      <w:proofErr w:type="spellEnd"/>
      <w:r w:rsidRPr="00FB71B4">
        <w:rPr>
          <w:rFonts w:ascii="Times" w:eastAsia="MS Mincho" w:hAnsi="Times"/>
          <w:lang w:eastAsia="en-US"/>
        </w:rPr>
        <w:t xml:space="preserve">, P. </w:t>
      </w:r>
      <w:proofErr w:type="spellStart"/>
      <w:r w:rsidRPr="00FB71B4">
        <w:rPr>
          <w:rFonts w:ascii="Times" w:eastAsia="MS Mincho" w:hAnsi="Times"/>
          <w:lang w:eastAsia="en-US"/>
        </w:rPr>
        <w:t>Lafleur</w:t>
      </w:r>
      <w:proofErr w:type="spellEnd"/>
      <w:r w:rsidRPr="00FB71B4">
        <w:rPr>
          <w:rFonts w:ascii="Times" w:eastAsia="MS Mincho" w:hAnsi="Times"/>
          <w:lang w:eastAsia="en-US"/>
        </w:rPr>
        <w:t xml:space="preserve">, H. Lee, G. </w:t>
      </w:r>
      <w:proofErr w:type="spellStart"/>
      <w:r w:rsidRPr="00FB71B4">
        <w:rPr>
          <w:rFonts w:ascii="Times" w:eastAsia="MS Mincho" w:hAnsi="Times"/>
          <w:lang w:eastAsia="en-US"/>
        </w:rPr>
        <w:t>Mazhitova</w:t>
      </w:r>
      <w:proofErr w:type="spellEnd"/>
      <w:r w:rsidRPr="00FB71B4">
        <w:rPr>
          <w:rFonts w:ascii="Times" w:eastAsia="MS Mincho" w:hAnsi="Times"/>
          <w:lang w:eastAsia="en-US"/>
        </w:rPr>
        <w:t xml:space="preserve">, F. E. Nelson, a R. V., </w:t>
      </w:r>
      <w:proofErr w:type="spellStart"/>
      <w:r w:rsidRPr="00FB71B4">
        <w:rPr>
          <w:rFonts w:ascii="Times" w:eastAsia="MS Mincho" w:hAnsi="Times"/>
          <w:lang w:eastAsia="en-US"/>
        </w:rPr>
        <w:t>Romanovsky</w:t>
      </w:r>
      <w:proofErr w:type="spellEnd"/>
      <w:r w:rsidRPr="00FB71B4">
        <w:rPr>
          <w:rFonts w:ascii="Times" w:eastAsia="MS Mincho" w:hAnsi="Times"/>
          <w:lang w:eastAsia="en-US"/>
        </w:rPr>
        <w:t xml:space="preserve">, N. </w:t>
      </w:r>
      <w:proofErr w:type="spellStart"/>
      <w:r w:rsidRPr="00FB71B4">
        <w:rPr>
          <w:rFonts w:ascii="Times" w:eastAsia="MS Mincho" w:hAnsi="Times"/>
          <w:lang w:eastAsia="en-US"/>
        </w:rPr>
        <w:t>Shiklomanov</w:t>
      </w:r>
      <w:proofErr w:type="spellEnd"/>
      <w:r w:rsidRPr="00FB71B4">
        <w:rPr>
          <w:rFonts w:ascii="Times" w:eastAsia="MS Mincho" w:hAnsi="Times"/>
          <w:lang w:eastAsia="en-US"/>
        </w:rPr>
        <w:t xml:space="preserve">, C. Tarnocai, S. </w:t>
      </w:r>
      <w:proofErr w:type="spellStart"/>
      <w:r w:rsidRPr="00FB71B4">
        <w:rPr>
          <w:rFonts w:ascii="Times" w:eastAsia="MS Mincho" w:hAnsi="Times"/>
          <w:lang w:eastAsia="en-US"/>
        </w:rPr>
        <w:t>Venevsky</w:t>
      </w:r>
      <w:proofErr w:type="spellEnd"/>
      <w:r w:rsidRPr="00FB71B4">
        <w:rPr>
          <w:rFonts w:ascii="Times" w:eastAsia="MS Mincho" w:hAnsi="Times"/>
          <w:lang w:eastAsia="en-US"/>
        </w:rPr>
        <w:t xml:space="preserve">, J. G. Vogel, and S. a </w:t>
      </w:r>
      <w:proofErr w:type="spellStart"/>
      <w:r w:rsidRPr="00FB71B4">
        <w:rPr>
          <w:rFonts w:ascii="Times" w:eastAsia="MS Mincho" w:hAnsi="Times"/>
          <w:lang w:eastAsia="en-US"/>
        </w:rPr>
        <w:t>Zimov</w:t>
      </w:r>
      <w:proofErr w:type="spellEnd"/>
      <w:r w:rsidRPr="00FB71B4">
        <w:rPr>
          <w:rFonts w:ascii="Times" w:eastAsia="MS Mincho" w:hAnsi="Times"/>
          <w:lang w:eastAsia="en-US"/>
        </w:rPr>
        <w:t xml:space="preserve">, “Vulnerability of permafrost carbon to climate change: implications for the global carbon cycle,” </w:t>
      </w:r>
      <w:r w:rsidRPr="00FB71B4">
        <w:rPr>
          <w:rFonts w:ascii="Times" w:eastAsia="MS Mincho" w:hAnsi="Times"/>
          <w:i/>
          <w:iCs/>
          <w:lang w:eastAsia="en-US"/>
        </w:rPr>
        <w:t>Bioscience</w:t>
      </w:r>
      <w:r w:rsidRPr="00FB71B4">
        <w:rPr>
          <w:rFonts w:ascii="Times" w:eastAsia="MS Mincho" w:hAnsi="Times"/>
          <w:lang w:eastAsia="en-US"/>
        </w:rPr>
        <w:t>, vol. 58, no. 8, pp. 704–714, 2008.</w:t>
      </w:r>
    </w:p>
    <w:p w14:paraId="3CF0C33B"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[2]</w:t>
      </w:r>
      <w:r w:rsidRPr="00FB71B4">
        <w:rPr>
          <w:rFonts w:ascii="Times" w:eastAsia="MS Mincho" w:hAnsi="Times"/>
          <w:lang w:eastAsia="en-US"/>
        </w:rPr>
        <w:tab/>
        <w:t xml:space="preserve">G. M. Macdonald, D. W. </w:t>
      </w:r>
      <w:proofErr w:type="spellStart"/>
      <w:r w:rsidRPr="00FB71B4">
        <w:rPr>
          <w:rFonts w:ascii="Times" w:eastAsia="MS Mincho" w:hAnsi="Times"/>
          <w:lang w:eastAsia="en-US"/>
        </w:rPr>
        <w:t>Beilman</w:t>
      </w:r>
      <w:proofErr w:type="spellEnd"/>
      <w:r w:rsidRPr="00FB71B4">
        <w:rPr>
          <w:rFonts w:ascii="Times" w:eastAsia="MS Mincho" w:hAnsi="Times"/>
          <w:lang w:eastAsia="en-US"/>
        </w:rPr>
        <w:t xml:space="preserve">, K. V </w:t>
      </w:r>
      <w:proofErr w:type="spellStart"/>
      <w:r w:rsidRPr="00FB71B4">
        <w:rPr>
          <w:rFonts w:ascii="Times" w:eastAsia="MS Mincho" w:hAnsi="Times"/>
          <w:lang w:eastAsia="en-US"/>
        </w:rPr>
        <w:t>Kremenetski</w:t>
      </w:r>
      <w:proofErr w:type="spellEnd"/>
      <w:r w:rsidRPr="00FB71B4">
        <w:rPr>
          <w:rFonts w:ascii="Times" w:eastAsia="MS Mincho" w:hAnsi="Times"/>
          <w:lang w:eastAsia="en-US"/>
        </w:rPr>
        <w:t xml:space="preserve">, Y. Sheng, L. C. Smith, and A. a </w:t>
      </w:r>
      <w:proofErr w:type="spellStart"/>
      <w:r w:rsidRPr="00FB71B4">
        <w:rPr>
          <w:rFonts w:ascii="Times" w:eastAsia="MS Mincho" w:hAnsi="Times"/>
          <w:lang w:eastAsia="en-US"/>
        </w:rPr>
        <w:t>Velichko</w:t>
      </w:r>
      <w:proofErr w:type="spellEnd"/>
      <w:r w:rsidRPr="00FB71B4">
        <w:rPr>
          <w:rFonts w:ascii="Times" w:eastAsia="MS Mincho" w:hAnsi="Times"/>
          <w:lang w:eastAsia="en-US"/>
        </w:rPr>
        <w:t xml:space="preserve">, “Rapid early development of </w:t>
      </w:r>
      <w:proofErr w:type="spellStart"/>
      <w:r w:rsidRPr="00FB71B4">
        <w:rPr>
          <w:rFonts w:ascii="Times" w:eastAsia="MS Mincho" w:hAnsi="Times"/>
          <w:lang w:eastAsia="en-US"/>
        </w:rPr>
        <w:t>circumarctic</w:t>
      </w:r>
      <w:proofErr w:type="spellEnd"/>
      <w:r w:rsidRPr="00FB71B4">
        <w:rPr>
          <w:rFonts w:ascii="Times" w:eastAsia="MS Mincho" w:hAnsi="Times"/>
          <w:lang w:eastAsia="en-US"/>
        </w:rPr>
        <w:t xml:space="preserve"> peatlands and atmospheric CH4 and CO2 variations</w:t>
      </w:r>
      <w:proofErr w:type="gramStart"/>
      <w:r w:rsidRPr="00FB71B4">
        <w:rPr>
          <w:rFonts w:ascii="Times" w:eastAsia="MS Mincho" w:hAnsi="Times"/>
          <w:lang w:eastAsia="en-US"/>
        </w:rPr>
        <w:t>.,</w:t>
      </w:r>
      <w:proofErr w:type="gramEnd"/>
      <w:r w:rsidRPr="00FB71B4">
        <w:rPr>
          <w:rFonts w:ascii="Times" w:eastAsia="MS Mincho" w:hAnsi="Times"/>
          <w:lang w:eastAsia="en-US"/>
        </w:rPr>
        <w:t xml:space="preserve">” </w:t>
      </w:r>
      <w:r w:rsidRPr="00FB71B4">
        <w:rPr>
          <w:rFonts w:ascii="Times" w:eastAsia="MS Mincho" w:hAnsi="Times"/>
          <w:i/>
          <w:iCs/>
          <w:lang w:eastAsia="en-US"/>
        </w:rPr>
        <w:t>Science</w:t>
      </w:r>
      <w:r w:rsidRPr="00FB71B4">
        <w:rPr>
          <w:rFonts w:ascii="Times" w:eastAsia="MS Mincho" w:hAnsi="Times"/>
          <w:lang w:eastAsia="en-US"/>
        </w:rPr>
        <w:t>, vol. 314, no. 5797, pp. 285–288, 2006.</w:t>
      </w:r>
    </w:p>
    <w:p w14:paraId="7B7E8439"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[3]</w:t>
      </w:r>
      <w:r w:rsidRPr="00FB71B4">
        <w:rPr>
          <w:rFonts w:ascii="Times" w:eastAsia="MS Mincho" w:hAnsi="Times"/>
          <w:lang w:eastAsia="en-US"/>
        </w:rPr>
        <w:tab/>
      </w:r>
      <w:proofErr w:type="gramStart"/>
      <w:r w:rsidRPr="00FB71B4">
        <w:rPr>
          <w:rFonts w:ascii="Times" w:eastAsia="MS Mincho" w:hAnsi="Times"/>
          <w:lang w:eastAsia="en-US"/>
        </w:rPr>
        <w:t>a</w:t>
      </w:r>
      <w:proofErr w:type="gramEnd"/>
      <w:r w:rsidRPr="00FB71B4">
        <w:rPr>
          <w:rFonts w:ascii="Times" w:eastAsia="MS Mincho" w:hAnsi="Times"/>
          <w:lang w:eastAsia="en-US"/>
        </w:rPr>
        <w:t xml:space="preserve"> Vaks, O. S. </w:t>
      </w:r>
      <w:proofErr w:type="spellStart"/>
      <w:r w:rsidRPr="00FB71B4">
        <w:rPr>
          <w:rFonts w:ascii="Times" w:eastAsia="MS Mincho" w:hAnsi="Times"/>
          <w:lang w:eastAsia="en-US"/>
        </w:rPr>
        <w:t>Gutareva</w:t>
      </w:r>
      <w:proofErr w:type="spellEnd"/>
      <w:r w:rsidRPr="00FB71B4">
        <w:rPr>
          <w:rFonts w:ascii="Times" w:eastAsia="MS Mincho" w:hAnsi="Times"/>
          <w:lang w:eastAsia="en-US"/>
        </w:rPr>
        <w:t xml:space="preserve">, S. F. M. </w:t>
      </w:r>
      <w:proofErr w:type="spellStart"/>
      <w:r w:rsidRPr="00FB71B4">
        <w:rPr>
          <w:rFonts w:ascii="Times" w:eastAsia="MS Mincho" w:hAnsi="Times"/>
          <w:lang w:eastAsia="en-US"/>
        </w:rPr>
        <w:t>Breitenbach</w:t>
      </w:r>
      <w:proofErr w:type="spellEnd"/>
      <w:r w:rsidRPr="00FB71B4">
        <w:rPr>
          <w:rFonts w:ascii="Times" w:eastAsia="MS Mincho" w:hAnsi="Times"/>
          <w:lang w:eastAsia="en-US"/>
        </w:rPr>
        <w:t xml:space="preserve">, E. </w:t>
      </w:r>
      <w:proofErr w:type="spellStart"/>
      <w:r w:rsidRPr="00FB71B4">
        <w:rPr>
          <w:rFonts w:ascii="Times" w:eastAsia="MS Mincho" w:hAnsi="Times"/>
          <w:lang w:eastAsia="en-US"/>
        </w:rPr>
        <w:t>Avirmed</w:t>
      </w:r>
      <w:proofErr w:type="spellEnd"/>
      <w:r w:rsidRPr="00FB71B4">
        <w:rPr>
          <w:rFonts w:ascii="Times" w:eastAsia="MS Mincho" w:hAnsi="Times"/>
          <w:lang w:eastAsia="en-US"/>
        </w:rPr>
        <w:t xml:space="preserve">, a J. Mason, a L. Thomas, a V </w:t>
      </w:r>
      <w:proofErr w:type="spellStart"/>
      <w:r w:rsidRPr="00FB71B4">
        <w:rPr>
          <w:rFonts w:ascii="Times" w:eastAsia="MS Mincho" w:hAnsi="Times"/>
          <w:lang w:eastAsia="en-US"/>
        </w:rPr>
        <w:t>Osinzev</w:t>
      </w:r>
      <w:proofErr w:type="spellEnd"/>
      <w:r w:rsidRPr="00FB71B4">
        <w:rPr>
          <w:rFonts w:ascii="Times" w:eastAsia="MS Mincho" w:hAnsi="Times"/>
          <w:lang w:eastAsia="en-US"/>
        </w:rPr>
        <w:t xml:space="preserve">, a M. </w:t>
      </w:r>
      <w:proofErr w:type="spellStart"/>
      <w:r w:rsidRPr="00FB71B4">
        <w:rPr>
          <w:rFonts w:ascii="Times" w:eastAsia="MS Mincho" w:hAnsi="Times"/>
          <w:lang w:eastAsia="en-US"/>
        </w:rPr>
        <w:t>Kononov</w:t>
      </w:r>
      <w:proofErr w:type="spellEnd"/>
      <w:r w:rsidRPr="00FB71B4">
        <w:rPr>
          <w:rFonts w:ascii="Times" w:eastAsia="MS Mincho" w:hAnsi="Times"/>
          <w:lang w:eastAsia="en-US"/>
        </w:rPr>
        <w:t xml:space="preserve">, and G. M. Henderson, “Speleothems reveal 500,000-year history of Siberian permafrost.,” </w:t>
      </w:r>
      <w:r w:rsidRPr="00FB71B4">
        <w:rPr>
          <w:rFonts w:ascii="Times" w:eastAsia="MS Mincho" w:hAnsi="Times"/>
          <w:i/>
          <w:iCs/>
          <w:lang w:eastAsia="en-US"/>
        </w:rPr>
        <w:t>Science</w:t>
      </w:r>
      <w:r w:rsidRPr="00FB71B4">
        <w:rPr>
          <w:rFonts w:ascii="Times" w:eastAsia="MS Mincho" w:hAnsi="Times"/>
          <w:lang w:eastAsia="en-US"/>
        </w:rPr>
        <w:t>, vol. 340, no. 6129, pp. 183–6, 2013.</w:t>
      </w:r>
    </w:p>
    <w:p w14:paraId="3FA37E16"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[4]</w:t>
      </w:r>
      <w:r w:rsidRPr="00FB71B4">
        <w:rPr>
          <w:rFonts w:ascii="Times" w:eastAsia="MS Mincho" w:hAnsi="Times"/>
          <w:lang w:eastAsia="en-US"/>
        </w:rPr>
        <w:tab/>
        <w:t xml:space="preserve">C. Tarnocai, J. G. </w:t>
      </w:r>
      <w:proofErr w:type="spellStart"/>
      <w:r w:rsidRPr="00FB71B4">
        <w:rPr>
          <w:rFonts w:ascii="Times" w:eastAsia="MS Mincho" w:hAnsi="Times"/>
          <w:lang w:eastAsia="en-US"/>
        </w:rPr>
        <w:t>Canadell</w:t>
      </w:r>
      <w:proofErr w:type="spellEnd"/>
      <w:r w:rsidRPr="00FB71B4">
        <w:rPr>
          <w:rFonts w:ascii="Times" w:eastAsia="MS Mincho" w:hAnsi="Times"/>
          <w:lang w:eastAsia="en-US"/>
        </w:rPr>
        <w:t xml:space="preserve">, E. a G. Schuur, P. </w:t>
      </w:r>
      <w:proofErr w:type="spellStart"/>
      <w:r w:rsidRPr="00FB71B4">
        <w:rPr>
          <w:rFonts w:ascii="Times" w:eastAsia="MS Mincho" w:hAnsi="Times"/>
          <w:lang w:eastAsia="en-US"/>
        </w:rPr>
        <w:t>Kuhry</w:t>
      </w:r>
      <w:proofErr w:type="spellEnd"/>
      <w:r w:rsidRPr="00FB71B4">
        <w:rPr>
          <w:rFonts w:ascii="Times" w:eastAsia="MS Mincho" w:hAnsi="Times"/>
          <w:lang w:eastAsia="en-US"/>
        </w:rPr>
        <w:t xml:space="preserve">, G. </w:t>
      </w:r>
      <w:proofErr w:type="spellStart"/>
      <w:r w:rsidRPr="00FB71B4">
        <w:rPr>
          <w:rFonts w:ascii="Times" w:eastAsia="MS Mincho" w:hAnsi="Times"/>
          <w:lang w:eastAsia="en-US"/>
        </w:rPr>
        <w:t>Mazhitova</w:t>
      </w:r>
      <w:proofErr w:type="spellEnd"/>
      <w:r w:rsidRPr="00FB71B4">
        <w:rPr>
          <w:rFonts w:ascii="Times" w:eastAsia="MS Mincho" w:hAnsi="Times"/>
          <w:lang w:eastAsia="en-US"/>
        </w:rPr>
        <w:t xml:space="preserve">, and S. </w:t>
      </w:r>
      <w:proofErr w:type="spellStart"/>
      <w:r w:rsidRPr="00FB71B4">
        <w:rPr>
          <w:rFonts w:ascii="Times" w:eastAsia="MS Mincho" w:hAnsi="Times"/>
          <w:lang w:eastAsia="en-US"/>
        </w:rPr>
        <w:t>Zimov</w:t>
      </w:r>
      <w:proofErr w:type="spellEnd"/>
      <w:r w:rsidRPr="00FB71B4">
        <w:rPr>
          <w:rFonts w:ascii="Times" w:eastAsia="MS Mincho" w:hAnsi="Times"/>
          <w:lang w:eastAsia="en-US"/>
        </w:rPr>
        <w:t xml:space="preserve">, “Soil organic carbon pools in the northern circumpolar permafrost region,” </w:t>
      </w:r>
      <w:r w:rsidRPr="00FB71B4">
        <w:rPr>
          <w:rFonts w:ascii="Times" w:eastAsia="MS Mincho" w:hAnsi="Times"/>
          <w:i/>
          <w:iCs/>
          <w:lang w:eastAsia="en-US"/>
        </w:rPr>
        <w:t xml:space="preserve">Global </w:t>
      </w:r>
      <w:proofErr w:type="spellStart"/>
      <w:r w:rsidRPr="00FB71B4">
        <w:rPr>
          <w:rFonts w:ascii="Times" w:eastAsia="MS Mincho" w:hAnsi="Times"/>
          <w:i/>
          <w:iCs/>
          <w:lang w:eastAsia="en-US"/>
        </w:rPr>
        <w:t>Biogeochem</w:t>
      </w:r>
      <w:proofErr w:type="spellEnd"/>
      <w:r w:rsidRPr="00FB71B4">
        <w:rPr>
          <w:rFonts w:ascii="Times" w:eastAsia="MS Mincho" w:hAnsi="Times"/>
          <w:i/>
          <w:iCs/>
          <w:lang w:eastAsia="en-US"/>
        </w:rPr>
        <w:t xml:space="preserve">. </w:t>
      </w:r>
      <w:proofErr w:type="gramStart"/>
      <w:r w:rsidRPr="00FB71B4">
        <w:rPr>
          <w:rFonts w:ascii="Times" w:eastAsia="MS Mincho" w:hAnsi="Times"/>
          <w:i/>
          <w:iCs/>
          <w:lang w:eastAsia="en-US"/>
        </w:rPr>
        <w:t>Cycles</w:t>
      </w:r>
      <w:r w:rsidRPr="00FB71B4">
        <w:rPr>
          <w:rFonts w:ascii="Times" w:eastAsia="MS Mincho" w:hAnsi="Times"/>
          <w:lang w:eastAsia="en-US"/>
        </w:rPr>
        <w:t>, vol. 23, no. 2, pp. 1–11, 2009.</w:t>
      </w:r>
      <w:proofErr w:type="gramEnd"/>
    </w:p>
    <w:p w14:paraId="7E28E3BC"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[5]</w:t>
      </w:r>
      <w:r w:rsidRPr="00FB71B4">
        <w:rPr>
          <w:rFonts w:ascii="Times" w:eastAsia="MS Mincho" w:hAnsi="Times"/>
          <w:lang w:eastAsia="en-US"/>
        </w:rPr>
        <w:tab/>
        <w:t>E. Applications and N. May, “Northern Peatlands</w:t>
      </w:r>
      <w:r w:rsidRPr="00FB71B4">
        <w:rPr>
          <w:rFonts w:eastAsia="MS Mincho"/>
          <w:lang w:eastAsia="en-US"/>
        </w:rPr>
        <w:t> </w:t>
      </w:r>
      <w:r w:rsidRPr="00FB71B4">
        <w:rPr>
          <w:rFonts w:ascii="Times" w:eastAsia="MS Mincho" w:hAnsi="Times"/>
          <w:lang w:eastAsia="en-US"/>
        </w:rPr>
        <w:t>: Role in the Carbon Cycle and Probable Responses to Climatic Warming Eville Gorham NORTHERN PEATLANDS</w:t>
      </w:r>
      <w:r w:rsidRPr="00FB71B4">
        <w:rPr>
          <w:rFonts w:eastAsia="MS Mincho"/>
          <w:lang w:eastAsia="en-US"/>
        </w:rPr>
        <w:t> </w:t>
      </w:r>
      <w:r w:rsidRPr="00FB71B4">
        <w:rPr>
          <w:rFonts w:ascii="Times" w:eastAsia="MS Mincho" w:hAnsi="Times"/>
          <w:lang w:eastAsia="en-US"/>
        </w:rPr>
        <w:t>: ROLE IN THE CARBON CYCLE AND PROBABLE RESPONSES TO CLIMATIC WARMING1,” vol. 1, no. 2, pp. 182–195, 1991.</w:t>
      </w:r>
    </w:p>
    <w:p w14:paraId="01B5AA06"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 xml:space="preserve"> </w:t>
      </w:r>
      <w:r>
        <w:rPr>
          <w:rFonts w:ascii="Times" w:eastAsia="MS Mincho" w:hAnsi="Times"/>
          <w:lang w:eastAsia="en-US"/>
        </w:rPr>
        <w:t>[6</w:t>
      </w:r>
      <w:r w:rsidR="00FB71B4" w:rsidRPr="00FB71B4">
        <w:rPr>
          <w:rFonts w:ascii="Times" w:eastAsia="MS Mincho" w:hAnsi="Times"/>
          <w:lang w:eastAsia="en-US"/>
        </w:rPr>
        <w:t>]</w:t>
      </w:r>
      <w:r w:rsidR="00FB71B4" w:rsidRPr="00FB71B4">
        <w:rPr>
          <w:rFonts w:ascii="Times" w:eastAsia="MS Mincho" w:hAnsi="Times"/>
          <w:lang w:eastAsia="en-US"/>
        </w:rPr>
        <w:tab/>
        <w:t xml:space="preserve">T. V. Callaghan, F. </w:t>
      </w:r>
      <w:proofErr w:type="spellStart"/>
      <w:r w:rsidR="00FB71B4" w:rsidRPr="00FB71B4">
        <w:rPr>
          <w:rFonts w:ascii="Times" w:eastAsia="MS Mincho" w:hAnsi="Times"/>
          <w:lang w:eastAsia="en-US"/>
        </w:rPr>
        <w:t>Bergholm</w:t>
      </w:r>
      <w:proofErr w:type="spellEnd"/>
      <w:r w:rsidR="00FB71B4" w:rsidRPr="00FB71B4">
        <w:rPr>
          <w:rFonts w:ascii="Times" w:eastAsia="MS Mincho" w:hAnsi="Times"/>
          <w:lang w:eastAsia="en-US"/>
        </w:rPr>
        <w:t xml:space="preserve">, T. R. Christensen, C. </w:t>
      </w:r>
      <w:proofErr w:type="spellStart"/>
      <w:r w:rsidR="00FB71B4" w:rsidRPr="00FB71B4">
        <w:rPr>
          <w:rFonts w:ascii="Times" w:eastAsia="MS Mincho" w:hAnsi="Times"/>
          <w:lang w:eastAsia="en-US"/>
        </w:rPr>
        <w:t>Jonasson</w:t>
      </w:r>
      <w:proofErr w:type="spellEnd"/>
      <w:r w:rsidR="00FB71B4" w:rsidRPr="00FB71B4">
        <w:rPr>
          <w:rFonts w:ascii="Times" w:eastAsia="MS Mincho" w:hAnsi="Times"/>
          <w:lang w:eastAsia="en-US"/>
        </w:rPr>
        <w:t xml:space="preserve">, U. </w:t>
      </w:r>
      <w:proofErr w:type="spellStart"/>
      <w:r w:rsidR="00FB71B4" w:rsidRPr="00FB71B4">
        <w:rPr>
          <w:rFonts w:ascii="Times" w:eastAsia="MS Mincho" w:hAnsi="Times"/>
          <w:lang w:eastAsia="en-US"/>
        </w:rPr>
        <w:t>Kokfelt</w:t>
      </w:r>
      <w:proofErr w:type="spellEnd"/>
      <w:r w:rsidR="00FB71B4" w:rsidRPr="00FB71B4">
        <w:rPr>
          <w:rFonts w:ascii="Times" w:eastAsia="MS Mincho" w:hAnsi="Times"/>
          <w:lang w:eastAsia="en-US"/>
        </w:rPr>
        <w:t xml:space="preserve">, and M. Johansson, “A new </w:t>
      </w:r>
      <w:r w:rsidR="00FB71B4" w:rsidRPr="00FB71B4">
        <w:rPr>
          <w:rFonts w:ascii="Times" w:eastAsia="MS Mincho" w:hAnsi="Times"/>
          <w:lang w:eastAsia="en-US"/>
        </w:rPr>
        <w:lastRenderedPageBreak/>
        <w:t xml:space="preserve">climate era in the sub-Arctic: Accelerating climate changes and multiple impacts,” </w:t>
      </w:r>
      <w:proofErr w:type="spellStart"/>
      <w:r w:rsidR="00FB71B4" w:rsidRPr="00FB71B4">
        <w:rPr>
          <w:rFonts w:ascii="Times" w:eastAsia="MS Mincho" w:hAnsi="Times"/>
          <w:i/>
          <w:iCs/>
          <w:lang w:eastAsia="en-US"/>
        </w:rPr>
        <w:t>Geophys</w:t>
      </w:r>
      <w:proofErr w:type="spellEnd"/>
      <w:r w:rsidR="00FB71B4" w:rsidRPr="00FB71B4">
        <w:rPr>
          <w:rFonts w:ascii="Times" w:eastAsia="MS Mincho" w:hAnsi="Times"/>
          <w:i/>
          <w:iCs/>
          <w:lang w:eastAsia="en-US"/>
        </w:rPr>
        <w:t>. Res. Lett</w:t>
      </w:r>
      <w:proofErr w:type="gramStart"/>
      <w:r w:rsidR="00FB71B4" w:rsidRPr="00FB71B4">
        <w:rPr>
          <w:rFonts w:ascii="Times" w:eastAsia="MS Mincho" w:hAnsi="Times"/>
          <w:i/>
          <w:iCs/>
          <w:lang w:eastAsia="en-US"/>
        </w:rPr>
        <w:t>.</w:t>
      </w:r>
      <w:r w:rsidR="00FB71B4" w:rsidRPr="00FB71B4">
        <w:rPr>
          <w:rFonts w:ascii="Times" w:eastAsia="MS Mincho" w:hAnsi="Times"/>
          <w:lang w:eastAsia="en-US"/>
        </w:rPr>
        <w:t>,</w:t>
      </w:r>
      <w:proofErr w:type="gramEnd"/>
      <w:r w:rsidR="00FB71B4" w:rsidRPr="00FB71B4">
        <w:rPr>
          <w:rFonts w:ascii="Times" w:eastAsia="MS Mincho" w:hAnsi="Times"/>
          <w:lang w:eastAsia="en-US"/>
        </w:rPr>
        <w:t xml:space="preserve"> vol. 37, no. 14, pp. 1–6, 2010.</w:t>
      </w:r>
    </w:p>
    <w:p w14:paraId="31484C12" w14:textId="77777777" w:rsidR="00FB71B4" w:rsidRPr="00FB71B4" w:rsidRDefault="00FB71B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w:t>
      </w:r>
      <w:r w:rsidR="00546004">
        <w:rPr>
          <w:rFonts w:ascii="Times" w:eastAsia="MS Mincho" w:hAnsi="Times"/>
          <w:lang w:eastAsia="en-US"/>
        </w:rPr>
        <w:t>7</w:t>
      </w:r>
      <w:r w:rsidRPr="00FB71B4">
        <w:rPr>
          <w:rFonts w:ascii="Times" w:eastAsia="MS Mincho" w:hAnsi="Times"/>
          <w:lang w:eastAsia="en-US"/>
        </w:rPr>
        <w:t>]</w:t>
      </w:r>
      <w:r w:rsidRPr="00FB71B4">
        <w:rPr>
          <w:rFonts w:ascii="Times" w:eastAsia="MS Mincho" w:hAnsi="Times"/>
          <w:lang w:eastAsia="en-US"/>
        </w:rPr>
        <w:tab/>
        <w:t xml:space="preserve">IPCC, 2007: Climate Change 2007: The Physical Science Basis. Contribution of Working Group I to the Fourth Assessment Report of the Intergovernmental Panel on Climate Change [Solomon, S., D. Qin, M. Manning, Z. Chen, M. Marquis, K.B. </w:t>
      </w:r>
      <w:proofErr w:type="spellStart"/>
      <w:r w:rsidRPr="00FB71B4">
        <w:rPr>
          <w:rFonts w:ascii="Times" w:eastAsia="MS Mincho" w:hAnsi="Times"/>
          <w:lang w:eastAsia="en-US"/>
        </w:rPr>
        <w:t>Averyt</w:t>
      </w:r>
      <w:proofErr w:type="spellEnd"/>
      <w:r w:rsidRPr="00FB71B4">
        <w:rPr>
          <w:rFonts w:ascii="Times" w:eastAsia="MS Mincho" w:hAnsi="Times"/>
          <w:lang w:eastAsia="en-US"/>
        </w:rPr>
        <w:t xml:space="preserve">, </w:t>
      </w:r>
      <w:proofErr w:type="spellStart"/>
      <w:r w:rsidRPr="00FB71B4">
        <w:rPr>
          <w:rFonts w:ascii="Times" w:eastAsia="MS Mincho" w:hAnsi="Times"/>
          <w:lang w:eastAsia="en-US"/>
        </w:rPr>
        <w:t>M.Tignor</w:t>
      </w:r>
      <w:proofErr w:type="spellEnd"/>
      <w:r w:rsidRPr="00FB71B4">
        <w:rPr>
          <w:rFonts w:ascii="Times" w:eastAsia="MS Mincho" w:hAnsi="Times"/>
          <w:lang w:eastAsia="en-US"/>
        </w:rPr>
        <w:t xml:space="preserve"> and H.L. Miller (eds.)]. </w:t>
      </w:r>
      <w:proofErr w:type="gramStart"/>
      <w:r w:rsidRPr="00FB71B4">
        <w:rPr>
          <w:rFonts w:ascii="Times" w:eastAsia="MS Mincho" w:hAnsi="Times"/>
          <w:lang w:eastAsia="en-US"/>
        </w:rPr>
        <w:t>Cambridge University Press, Cambridge, United Kingdom and New York, NY, USA.</w:t>
      </w:r>
      <w:proofErr w:type="gramEnd"/>
    </w:p>
    <w:p w14:paraId="3D9B289B"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[8</w:t>
      </w:r>
      <w:r w:rsidR="00FB71B4" w:rsidRPr="00FB71B4">
        <w:rPr>
          <w:rFonts w:ascii="Times" w:eastAsia="MS Mincho" w:hAnsi="Times"/>
          <w:lang w:eastAsia="en-US"/>
        </w:rPr>
        <w:t>]</w:t>
      </w:r>
      <w:r w:rsidR="00FB71B4" w:rsidRPr="00FB71B4">
        <w:rPr>
          <w:rFonts w:ascii="Times" w:eastAsia="MS Mincho" w:hAnsi="Times"/>
          <w:lang w:eastAsia="en-US"/>
        </w:rPr>
        <w:tab/>
        <w:t xml:space="preserve">P. Camill, “Permafrost thaw accelerates in boreal peatlands during late-20th century climate warming,” </w:t>
      </w:r>
      <w:proofErr w:type="spellStart"/>
      <w:r w:rsidR="00FB71B4" w:rsidRPr="00FB71B4">
        <w:rPr>
          <w:rFonts w:ascii="Times" w:eastAsia="MS Mincho" w:hAnsi="Times"/>
          <w:lang w:eastAsia="en-US"/>
        </w:rPr>
        <w:t>Clim</w:t>
      </w:r>
      <w:proofErr w:type="spellEnd"/>
      <w:r w:rsidR="00FB71B4" w:rsidRPr="00FB71B4">
        <w:rPr>
          <w:rFonts w:ascii="Times" w:eastAsia="MS Mincho" w:hAnsi="Times"/>
          <w:lang w:eastAsia="en-US"/>
        </w:rPr>
        <w:t xml:space="preserve">. </w:t>
      </w:r>
      <w:proofErr w:type="gramStart"/>
      <w:r w:rsidR="00FB71B4" w:rsidRPr="00FB71B4">
        <w:rPr>
          <w:rFonts w:ascii="Times" w:eastAsia="MS Mincho" w:hAnsi="Times"/>
          <w:lang w:eastAsia="en-US"/>
        </w:rPr>
        <w:t>Change, vol. 68, no. 1–2, pp. 135–152, 2005.</w:t>
      </w:r>
      <w:proofErr w:type="gramEnd"/>
    </w:p>
    <w:p w14:paraId="04719987"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[9</w:t>
      </w:r>
      <w:r w:rsidR="00FB71B4" w:rsidRPr="00FB71B4">
        <w:rPr>
          <w:rFonts w:ascii="Times" w:eastAsia="MS Mincho" w:hAnsi="Times"/>
          <w:lang w:eastAsia="en-US"/>
        </w:rPr>
        <w:t>]</w:t>
      </w:r>
      <w:r w:rsidR="00FB71B4" w:rsidRPr="00FB71B4">
        <w:rPr>
          <w:rFonts w:ascii="Times" w:eastAsia="MS Mincho" w:hAnsi="Times"/>
          <w:lang w:eastAsia="en-US"/>
        </w:rPr>
        <w:tab/>
      </w:r>
      <w:proofErr w:type="gramStart"/>
      <w:r w:rsidR="00FB71B4" w:rsidRPr="00FB71B4">
        <w:rPr>
          <w:rFonts w:ascii="Times" w:eastAsia="MS Mincho" w:hAnsi="Times"/>
          <w:lang w:eastAsia="en-US"/>
        </w:rPr>
        <w:t xml:space="preserve">N. Malmer, T. Johansson, M. </w:t>
      </w:r>
      <w:proofErr w:type="spellStart"/>
      <w:r w:rsidR="00FB71B4" w:rsidRPr="00FB71B4">
        <w:rPr>
          <w:rFonts w:ascii="Times" w:eastAsia="MS Mincho" w:hAnsi="Times"/>
          <w:lang w:eastAsia="en-US"/>
        </w:rPr>
        <w:t>Olsrud</w:t>
      </w:r>
      <w:proofErr w:type="spellEnd"/>
      <w:r w:rsidR="00FB71B4" w:rsidRPr="00FB71B4">
        <w:rPr>
          <w:rFonts w:ascii="Times" w:eastAsia="MS Mincho" w:hAnsi="Times"/>
          <w:lang w:eastAsia="en-US"/>
        </w:rPr>
        <w:t xml:space="preserve">, and T. R. Christensen, “Vegetation, climatic changes and net carbon sequestration in a North-Scandinavian subarctic mire over 30 years,” </w:t>
      </w:r>
      <w:r w:rsidR="00FB71B4" w:rsidRPr="00FB71B4">
        <w:rPr>
          <w:rFonts w:ascii="Times" w:eastAsia="MS Mincho" w:hAnsi="Times"/>
          <w:i/>
          <w:iCs/>
          <w:lang w:eastAsia="en-US"/>
        </w:rPr>
        <w:t>Glob.</w:t>
      </w:r>
      <w:proofErr w:type="gramEnd"/>
      <w:r w:rsidR="00FB71B4" w:rsidRPr="00FB71B4">
        <w:rPr>
          <w:rFonts w:ascii="Times" w:eastAsia="MS Mincho" w:hAnsi="Times"/>
          <w:i/>
          <w:iCs/>
          <w:lang w:eastAsia="en-US"/>
        </w:rPr>
        <w:t xml:space="preserve"> Chang. </w:t>
      </w:r>
      <w:proofErr w:type="gramStart"/>
      <w:r w:rsidR="00FB71B4" w:rsidRPr="00FB71B4">
        <w:rPr>
          <w:rFonts w:ascii="Times" w:eastAsia="MS Mincho" w:hAnsi="Times"/>
          <w:i/>
          <w:iCs/>
          <w:lang w:eastAsia="en-US"/>
        </w:rPr>
        <w:t>Biol.</w:t>
      </w:r>
      <w:r w:rsidR="00FB71B4" w:rsidRPr="00FB71B4">
        <w:rPr>
          <w:rFonts w:ascii="Times" w:eastAsia="MS Mincho" w:hAnsi="Times"/>
          <w:lang w:eastAsia="en-US"/>
        </w:rPr>
        <w:t>, vol. 11, no. 11, pp. 1895–1909, 2005.</w:t>
      </w:r>
      <w:proofErr w:type="gramEnd"/>
    </w:p>
    <w:p w14:paraId="151B9402"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[10</w:t>
      </w:r>
      <w:r w:rsidR="00FB71B4" w:rsidRPr="00FB71B4">
        <w:rPr>
          <w:rFonts w:ascii="Times" w:eastAsia="MS Mincho" w:hAnsi="Times"/>
          <w:lang w:eastAsia="en-US"/>
        </w:rPr>
        <w:t>]</w:t>
      </w:r>
      <w:r w:rsidR="00FB71B4" w:rsidRPr="00FB71B4">
        <w:rPr>
          <w:rFonts w:ascii="Times" w:eastAsia="MS Mincho" w:hAnsi="Times"/>
          <w:lang w:eastAsia="en-US"/>
        </w:rPr>
        <w:tab/>
      </w:r>
      <w:proofErr w:type="gramStart"/>
      <w:r w:rsidR="00FB71B4" w:rsidRPr="00FB71B4">
        <w:rPr>
          <w:rFonts w:ascii="Times" w:eastAsia="MS Mincho" w:hAnsi="Times"/>
          <w:lang w:eastAsia="en-US"/>
        </w:rPr>
        <w:t xml:space="preserve">K. Bäckstrand, P. M. Crill, M. Mastepanov, T. R. Christensen, and D. Bastviken, “Total hydrocarbon flux dynamics at a subarctic mire in northern Sweden,” </w:t>
      </w:r>
      <w:r w:rsidR="00FB71B4" w:rsidRPr="00FB71B4">
        <w:rPr>
          <w:rFonts w:ascii="Times" w:eastAsia="MS Mincho" w:hAnsi="Times"/>
          <w:i/>
          <w:iCs/>
          <w:lang w:eastAsia="en-US"/>
        </w:rPr>
        <w:t xml:space="preserve">J. </w:t>
      </w:r>
      <w:proofErr w:type="spellStart"/>
      <w:r w:rsidR="00FB71B4" w:rsidRPr="00FB71B4">
        <w:rPr>
          <w:rFonts w:ascii="Times" w:eastAsia="MS Mincho" w:hAnsi="Times"/>
          <w:i/>
          <w:iCs/>
          <w:lang w:eastAsia="en-US"/>
        </w:rPr>
        <w:t>Geophys</w:t>
      </w:r>
      <w:proofErr w:type="spellEnd"/>
      <w:r w:rsidR="00FB71B4" w:rsidRPr="00FB71B4">
        <w:rPr>
          <w:rFonts w:ascii="Times" w:eastAsia="MS Mincho" w:hAnsi="Times"/>
          <w:i/>
          <w:iCs/>
          <w:lang w:eastAsia="en-US"/>
        </w:rPr>
        <w:t>.</w:t>
      </w:r>
      <w:proofErr w:type="gramEnd"/>
      <w:r w:rsidR="00FB71B4" w:rsidRPr="00FB71B4">
        <w:rPr>
          <w:rFonts w:ascii="Times" w:eastAsia="MS Mincho" w:hAnsi="Times"/>
          <w:i/>
          <w:iCs/>
          <w:lang w:eastAsia="en-US"/>
        </w:rPr>
        <w:t xml:space="preserve"> Res. </w:t>
      </w:r>
      <w:proofErr w:type="spellStart"/>
      <w:r w:rsidR="00FB71B4" w:rsidRPr="00FB71B4">
        <w:rPr>
          <w:rFonts w:ascii="Times" w:eastAsia="MS Mincho" w:hAnsi="Times"/>
          <w:i/>
          <w:iCs/>
          <w:lang w:eastAsia="en-US"/>
        </w:rPr>
        <w:t>Biogeosciences</w:t>
      </w:r>
      <w:proofErr w:type="spellEnd"/>
      <w:r w:rsidR="00FB71B4" w:rsidRPr="00FB71B4">
        <w:rPr>
          <w:rFonts w:ascii="Times" w:eastAsia="MS Mincho" w:hAnsi="Times"/>
          <w:lang w:eastAsia="en-US"/>
        </w:rPr>
        <w:t>, vol. 113, no. 3, 2008.</w:t>
      </w:r>
    </w:p>
    <w:p w14:paraId="5E09BA89"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proofErr w:type="gramStart"/>
      <w:r>
        <w:rPr>
          <w:rFonts w:ascii="Times" w:eastAsia="MS Mincho" w:hAnsi="Times"/>
          <w:lang w:eastAsia="en-US"/>
        </w:rPr>
        <w:t>[11</w:t>
      </w:r>
      <w:r w:rsidR="00FB71B4" w:rsidRPr="00FB71B4">
        <w:rPr>
          <w:rFonts w:ascii="Times" w:eastAsia="MS Mincho" w:hAnsi="Times"/>
          <w:lang w:eastAsia="en-US"/>
        </w:rPr>
        <w:t>]</w:t>
      </w:r>
      <w:r w:rsidR="00FB71B4" w:rsidRPr="00FB71B4">
        <w:rPr>
          <w:rFonts w:ascii="Times" w:eastAsia="MS Mincho" w:hAnsi="Times"/>
          <w:lang w:eastAsia="en-US"/>
        </w:rPr>
        <w:tab/>
        <w:t>ACIA, 2005.</w:t>
      </w:r>
      <w:proofErr w:type="gramEnd"/>
      <w:r w:rsidR="00FB71B4" w:rsidRPr="00FB71B4">
        <w:rPr>
          <w:rFonts w:ascii="Times" w:eastAsia="MS Mincho" w:hAnsi="Times"/>
          <w:lang w:eastAsia="en-US"/>
        </w:rPr>
        <w:t xml:space="preserve"> </w:t>
      </w:r>
      <w:proofErr w:type="gramStart"/>
      <w:r w:rsidR="00FB71B4" w:rsidRPr="00FB71B4">
        <w:rPr>
          <w:rFonts w:ascii="Times" w:eastAsia="MS Mincho" w:hAnsi="Times"/>
          <w:lang w:eastAsia="en-US"/>
        </w:rPr>
        <w:t>Arctic Climate Impact Assessment.</w:t>
      </w:r>
      <w:proofErr w:type="gramEnd"/>
      <w:r w:rsidR="00FB71B4" w:rsidRPr="00FB71B4">
        <w:rPr>
          <w:rFonts w:ascii="Times" w:eastAsia="MS Mincho" w:hAnsi="Times"/>
          <w:lang w:eastAsia="en-US"/>
        </w:rPr>
        <w:t xml:space="preserve"> </w:t>
      </w:r>
      <w:proofErr w:type="gramStart"/>
      <w:r w:rsidR="00FB71B4" w:rsidRPr="00FB71B4">
        <w:rPr>
          <w:rFonts w:ascii="Times" w:eastAsia="MS Mincho" w:hAnsi="Times"/>
          <w:lang w:eastAsia="en-US"/>
        </w:rPr>
        <w:t>ACIA Overview report.</w:t>
      </w:r>
      <w:proofErr w:type="gramEnd"/>
      <w:r w:rsidR="00FB71B4" w:rsidRPr="00FB71B4">
        <w:rPr>
          <w:rFonts w:ascii="Times" w:eastAsia="MS Mincho" w:hAnsi="Times"/>
          <w:lang w:eastAsia="en-US"/>
        </w:rPr>
        <w:t xml:space="preserve"> </w:t>
      </w:r>
      <w:proofErr w:type="gramStart"/>
      <w:r w:rsidR="00FB71B4" w:rsidRPr="00FB71B4">
        <w:rPr>
          <w:rFonts w:ascii="Times" w:eastAsia="MS Mincho" w:hAnsi="Times"/>
          <w:lang w:eastAsia="en-US"/>
        </w:rPr>
        <w:t>Cambridge University Press.</w:t>
      </w:r>
      <w:proofErr w:type="gramEnd"/>
      <w:r w:rsidR="00FB71B4" w:rsidRPr="00FB71B4">
        <w:rPr>
          <w:rFonts w:ascii="Times" w:eastAsia="MS Mincho" w:hAnsi="Times"/>
          <w:lang w:eastAsia="en-US"/>
        </w:rPr>
        <w:t xml:space="preserve"> 1020 pp.</w:t>
      </w:r>
    </w:p>
    <w:p w14:paraId="3646013F"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[12</w:t>
      </w:r>
      <w:r w:rsidR="00FB71B4" w:rsidRPr="00FB71B4">
        <w:rPr>
          <w:rFonts w:ascii="Times" w:eastAsia="MS Mincho" w:hAnsi="Times"/>
          <w:lang w:eastAsia="en-US"/>
        </w:rPr>
        <w:t>]</w:t>
      </w:r>
      <w:r w:rsidR="00FB71B4" w:rsidRPr="00FB71B4">
        <w:rPr>
          <w:rFonts w:ascii="Times" w:eastAsia="MS Mincho" w:hAnsi="Times"/>
          <w:lang w:eastAsia="en-US"/>
        </w:rPr>
        <w:tab/>
        <w:t xml:space="preserve">C. K. Mccalley, B. J. Woodcroft, S. B. Hodgkins, R. a </w:t>
      </w:r>
      <w:proofErr w:type="spellStart"/>
      <w:r w:rsidR="00FB71B4" w:rsidRPr="00FB71B4">
        <w:rPr>
          <w:rFonts w:ascii="Times" w:eastAsia="MS Mincho" w:hAnsi="Times"/>
          <w:lang w:eastAsia="en-US"/>
        </w:rPr>
        <w:t>Wehr</w:t>
      </w:r>
      <w:proofErr w:type="spellEnd"/>
      <w:r w:rsidR="00FB71B4" w:rsidRPr="00FB71B4">
        <w:rPr>
          <w:rFonts w:ascii="Times" w:eastAsia="MS Mincho" w:hAnsi="Times"/>
          <w:lang w:eastAsia="en-US"/>
        </w:rPr>
        <w:t xml:space="preserve">, E. Kim, R. Mondav, P. M. Crill, J. P. </w:t>
      </w:r>
      <w:proofErr w:type="spellStart"/>
      <w:r w:rsidR="00FB71B4" w:rsidRPr="00FB71B4">
        <w:rPr>
          <w:rFonts w:ascii="Times" w:eastAsia="MS Mincho" w:hAnsi="Times"/>
          <w:lang w:eastAsia="en-US"/>
        </w:rPr>
        <w:t>Chanton</w:t>
      </w:r>
      <w:proofErr w:type="spellEnd"/>
      <w:r w:rsidR="00FB71B4" w:rsidRPr="00FB71B4">
        <w:rPr>
          <w:rFonts w:ascii="Times" w:eastAsia="MS Mincho" w:hAnsi="Times"/>
          <w:lang w:eastAsia="en-US"/>
        </w:rPr>
        <w:t xml:space="preserve">, V. I. Rich, G. W. Tyson, and S. R. </w:t>
      </w:r>
      <w:proofErr w:type="spellStart"/>
      <w:r w:rsidR="00FB71B4" w:rsidRPr="00FB71B4">
        <w:rPr>
          <w:rFonts w:ascii="Times" w:eastAsia="MS Mincho" w:hAnsi="Times"/>
          <w:lang w:eastAsia="en-US"/>
        </w:rPr>
        <w:t>Saleska</w:t>
      </w:r>
      <w:proofErr w:type="spellEnd"/>
      <w:r w:rsidR="00FB71B4" w:rsidRPr="00FB71B4">
        <w:rPr>
          <w:rFonts w:ascii="Times" w:eastAsia="MS Mincho" w:hAnsi="Times"/>
          <w:lang w:eastAsia="en-US"/>
        </w:rPr>
        <w:t xml:space="preserve">, “Methane dynamics regulated by microbial,” </w:t>
      </w:r>
      <w:r w:rsidR="00FB71B4" w:rsidRPr="00FB71B4">
        <w:rPr>
          <w:rFonts w:ascii="Times" w:eastAsia="MS Mincho" w:hAnsi="Times"/>
          <w:i/>
          <w:iCs/>
          <w:lang w:eastAsia="en-US"/>
        </w:rPr>
        <w:t>Nature</w:t>
      </w:r>
      <w:r w:rsidR="00FB71B4" w:rsidRPr="00FB71B4">
        <w:rPr>
          <w:rFonts w:ascii="Times" w:eastAsia="MS Mincho" w:hAnsi="Times"/>
          <w:lang w:eastAsia="en-US"/>
        </w:rPr>
        <w:t>, vol. 514, no. 7523, pp. 478–481, 2014.</w:t>
      </w:r>
    </w:p>
    <w:p w14:paraId="36AAA1CF"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[13</w:t>
      </w:r>
      <w:r w:rsidR="000431AD">
        <w:rPr>
          <w:rFonts w:ascii="Times" w:eastAsia="MS Mincho" w:hAnsi="Times"/>
          <w:lang w:eastAsia="en-US"/>
        </w:rPr>
        <w:t>]</w:t>
      </w:r>
      <w:r w:rsidR="000431AD">
        <w:rPr>
          <w:rFonts w:ascii="Times" w:eastAsia="MS Mincho" w:hAnsi="Times"/>
          <w:lang w:eastAsia="en-US"/>
        </w:rPr>
        <w:tab/>
      </w:r>
      <w:r w:rsidR="0057658C" w:rsidRPr="0057658C">
        <w:rPr>
          <w:rFonts w:ascii="Times" w:eastAsia="MS Mincho" w:hAnsi="Times"/>
          <w:lang w:eastAsia="en-US"/>
        </w:rPr>
        <w:t> </w:t>
      </w:r>
      <w:proofErr w:type="gramStart"/>
      <w:r w:rsidR="0057658C" w:rsidRPr="0057658C">
        <w:rPr>
          <w:rFonts w:ascii="Times" w:eastAsia="MS Mincho" w:hAnsi="Times"/>
          <w:lang w:eastAsia="en-US"/>
        </w:rPr>
        <w:t>a</w:t>
      </w:r>
      <w:proofErr w:type="gramEnd"/>
      <w:r w:rsidR="0057658C" w:rsidRPr="0057658C">
        <w:rPr>
          <w:rFonts w:ascii="Times" w:eastAsia="MS Mincho" w:hAnsi="Times"/>
          <w:lang w:eastAsia="en-US"/>
        </w:rPr>
        <w:t xml:space="preserve">. Malhotra and N. T. </w:t>
      </w:r>
      <w:proofErr w:type="spellStart"/>
      <w:r w:rsidR="0057658C" w:rsidRPr="0057658C">
        <w:rPr>
          <w:rFonts w:ascii="Times" w:eastAsia="MS Mincho" w:hAnsi="Times"/>
          <w:lang w:eastAsia="en-US"/>
        </w:rPr>
        <w:t>Roulet</w:t>
      </w:r>
      <w:proofErr w:type="spellEnd"/>
      <w:r w:rsidR="0057658C" w:rsidRPr="0057658C">
        <w:rPr>
          <w:rFonts w:ascii="Times" w:eastAsia="MS Mincho" w:hAnsi="Times"/>
          <w:lang w:eastAsia="en-US"/>
        </w:rPr>
        <w:t>, “Environmental correlates of peatland carbon fluxes in a thawing landscape: do transitional thaw stages matter?,” </w:t>
      </w:r>
      <w:proofErr w:type="spellStart"/>
      <w:r w:rsidR="0057658C" w:rsidRPr="0057658C">
        <w:rPr>
          <w:rFonts w:ascii="Times" w:eastAsia="MS Mincho" w:hAnsi="Times"/>
          <w:i/>
          <w:iCs/>
          <w:lang w:eastAsia="en-US"/>
        </w:rPr>
        <w:t>Biogeosciences</w:t>
      </w:r>
      <w:proofErr w:type="spellEnd"/>
      <w:r w:rsidR="0057658C" w:rsidRPr="0057658C">
        <w:rPr>
          <w:rFonts w:ascii="Times" w:eastAsia="MS Mincho" w:hAnsi="Times"/>
          <w:lang w:eastAsia="en-US"/>
        </w:rPr>
        <w:t>, vol. 12, no. 10, pp. 3119–3130, 2015.</w:t>
      </w:r>
    </w:p>
    <w:p w14:paraId="4B0E4675"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[14</w:t>
      </w:r>
      <w:r w:rsidR="00FB71B4" w:rsidRPr="00FB71B4">
        <w:rPr>
          <w:rFonts w:ascii="Times" w:eastAsia="MS Mincho" w:hAnsi="Times"/>
          <w:lang w:eastAsia="en-US"/>
        </w:rPr>
        <w:t>]</w:t>
      </w:r>
      <w:r w:rsidR="00FB71B4" w:rsidRPr="00FB71B4">
        <w:rPr>
          <w:rFonts w:ascii="Times" w:eastAsia="MS Mincho" w:hAnsi="Times"/>
          <w:lang w:eastAsia="en-US"/>
        </w:rPr>
        <w:tab/>
        <w:t xml:space="preserve">T. Johansson, N. Malmer, P. M. Crill, T. </w:t>
      </w:r>
      <w:proofErr w:type="spellStart"/>
      <w:r w:rsidR="00FB71B4" w:rsidRPr="00FB71B4">
        <w:rPr>
          <w:rFonts w:ascii="Times" w:eastAsia="MS Mincho" w:hAnsi="Times"/>
          <w:lang w:eastAsia="en-US"/>
        </w:rPr>
        <w:t>Friborg</w:t>
      </w:r>
      <w:proofErr w:type="spellEnd"/>
      <w:r w:rsidR="00FB71B4" w:rsidRPr="00FB71B4">
        <w:rPr>
          <w:rFonts w:ascii="Times" w:eastAsia="MS Mincho" w:hAnsi="Times"/>
          <w:lang w:eastAsia="en-US"/>
        </w:rPr>
        <w:t xml:space="preserve">, J. H. </w:t>
      </w:r>
      <w:proofErr w:type="spellStart"/>
      <w:r w:rsidR="00FB71B4" w:rsidRPr="00FB71B4">
        <w:rPr>
          <w:rFonts w:ascii="Times" w:eastAsia="MS Mincho" w:hAnsi="Times"/>
          <w:lang w:eastAsia="en-US"/>
        </w:rPr>
        <w:t>Åkerman</w:t>
      </w:r>
      <w:proofErr w:type="spellEnd"/>
      <w:r w:rsidR="00FB71B4" w:rsidRPr="00FB71B4">
        <w:rPr>
          <w:rFonts w:ascii="Times" w:eastAsia="MS Mincho" w:hAnsi="Times"/>
          <w:lang w:eastAsia="en-US"/>
        </w:rPr>
        <w:t xml:space="preserve">, M. Mastepanov, and T. R. Christensen, “Decadal vegetation changes in a northern peatland, greenhouse gas fluxes and net radiative forcing,” </w:t>
      </w:r>
      <w:r w:rsidR="00FB71B4" w:rsidRPr="00FB71B4">
        <w:rPr>
          <w:rFonts w:ascii="Times" w:eastAsia="MS Mincho" w:hAnsi="Times"/>
          <w:i/>
          <w:iCs/>
          <w:lang w:eastAsia="en-US"/>
        </w:rPr>
        <w:t xml:space="preserve">Glob. Chang. </w:t>
      </w:r>
      <w:proofErr w:type="gramStart"/>
      <w:r w:rsidR="00FB71B4" w:rsidRPr="00FB71B4">
        <w:rPr>
          <w:rFonts w:ascii="Times" w:eastAsia="MS Mincho" w:hAnsi="Times"/>
          <w:i/>
          <w:iCs/>
          <w:lang w:eastAsia="en-US"/>
        </w:rPr>
        <w:t>Biol.</w:t>
      </w:r>
      <w:r w:rsidR="00FB71B4" w:rsidRPr="00FB71B4">
        <w:rPr>
          <w:rFonts w:ascii="Times" w:eastAsia="MS Mincho" w:hAnsi="Times"/>
          <w:lang w:eastAsia="en-US"/>
        </w:rPr>
        <w:t>, vol. 12, no. 12, pp. 2352–2369, 2006.</w:t>
      </w:r>
      <w:proofErr w:type="gramEnd"/>
    </w:p>
    <w:p w14:paraId="7DB1E28C"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[15</w:t>
      </w:r>
      <w:r w:rsidR="00FB71B4" w:rsidRPr="00FB71B4">
        <w:rPr>
          <w:rFonts w:ascii="Times" w:eastAsia="MS Mincho" w:hAnsi="Times"/>
          <w:lang w:eastAsia="en-US"/>
        </w:rPr>
        <w:t>]</w:t>
      </w:r>
      <w:r w:rsidR="00FB71B4" w:rsidRPr="00FB71B4">
        <w:rPr>
          <w:rFonts w:ascii="Times" w:eastAsia="MS Mincho" w:hAnsi="Times"/>
          <w:lang w:eastAsia="en-US"/>
        </w:rPr>
        <w:tab/>
        <w:t xml:space="preserve">K. Bäckstrand, P. M. Crill, M. Jackowicz-Korczyński, M. Mastepanov, T. R. Christensen, and D. Bastviken, “Annual carbon gas budget for a subarctic peatland, </w:t>
      </w:r>
      <w:r w:rsidR="00FB71B4" w:rsidRPr="00FB71B4">
        <w:rPr>
          <w:rFonts w:ascii="Times" w:eastAsia="MS Mincho" w:hAnsi="Times"/>
          <w:lang w:eastAsia="en-US"/>
        </w:rPr>
        <w:lastRenderedPageBreak/>
        <w:t xml:space="preserve">northern Sweden,” Medd. </w:t>
      </w:r>
      <w:proofErr w:type="gramStart"/>
      <w:r w:rsidR="00FB71B4" w:rsidRPr="00FB71B4">
        <w:rPr>
          <w:rFonts w:ascii="Times" w:eastAsia="MS Mincho" w:hAnsi="Times"/>
          <w:lang w:eastAsia="en-US"/>
        </w:rPr>
        <w:t>fran</w:t>
      </w:r>
      <w:proofErr w:type="gramEnd"/>
      <w:r w:rsidR="00FB71B4" w:rsidRPr="00FB71B4">
        <w:rPr>
          <w:rFonts w:ascii="Times" w:eastAsia="MS Mincho" w:hAnsi="Times"/>
          <w:lang w:eastAsia="en-US"/>
        </w:rPr>
        <w:t xml:space="preserve"> Lunds Univ. Geogr. Institutioner, Avh</w:t>
      </w:r>
      <w:proofErr w:type="gramStart"/>
      <w:r w:rsidR="00FB71B4" w:rsidRPr="00FB71B4">
        <w:rPr>
          <w:rFonts w:ascii="Times" w:eastAsia="MS Mincho" w:hAnsi="Times"/>
          <w:lang w:eastAsia="en-US"/>
        </w:rPr>
        <w:t>.,</w:t>
      </w:r>
      <w:proofErr w:type="gramEnd"/>
      <w:r w:rsidR="00FB71B4" w:rsidRPr="00FB71B4">
        <w:rPr>
          <w:rFonts w:ascii="Times" w:eastAsia="MS Mincho" w:hAnsi="Times"/>
          <w:lang w:eastAsia="en-US"/>
        </w:rPr>
        <w:t xml:space="preserve"> no. 184, pp. 53–65, 2009.</w:t>
      </w:r>
    </w:p>
    <w:p w14:paraId="2C4D1237"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Pr>
          <w:rFonts w:ascii="Times" w:eastAsia="MS Mincho" w:hAnsi="Times"/>
          <w:lang w:eastAsia="en-US"/>
        </w:rPr>
        <w:t>[16</w:t>
      </w:r>
      <w:r w:rsidR="00FB71B4" w:rsidRPr="00FB71B4">
        <w:rPr>
          <w:rFonts w:ascii="Times" w:eastAsia="MS Mincho" w:hAnsi="Times"/>
          <w:lang w:eastAsia="en-US"/>
        </w:rPr>
        <w:t>]</w:t>
      </w:r>
      <w:r w:rsidR="00FB71B4" w:rsidRPr="00FB71B4">
        <w:rPr>
          <w:rFonts w:ascii="Times" w:eastAsia="MS Mincho" w:hAnsi="Times"/>
          <w:lang w:eastAsia="en-US"/>
        </w:rPr>
        <w:tab/>
        <w:t xml:space="preserve">T. R. Christensen, “Thawing sub-arctic permafrost: Effects on vegetation and methane emissions,” </w:t>
      </w:r>
      <w:proofErr w:type="spellStart"/>
      <w:r w:rsidR="00FB71B4" w:rsidRPr="00FB71B4">
        <w:rPr>
          <w:rFonts w:ascii="Times" w:eastAsia="MS Mincho" w:hAnsi="Times"/>
          <w:i/>
          <w:iCs/>
          <w:lang w:eastAsia="en-US"/>
        </w:rPr>
        <w:t>Geophys</w:t>
      </w:r>
      <w:proofErr w:type="spellEnd"/>
      <w:r w:rsidR="00FB71B4" w:rsidRPr="00FB71B4">
        <w:rPr>
          <w:rFonts w:ascii="Times" w:eastAsia="MS Mincho" w:hAnsi="Times"/>
          <w:i/>
          <w:iCs/>
          <w:lang w:eastAsia="en-US"/>
        </w:rPr>
        <w:t>. Res. Lett</w:t>
      </w:r>
      <w:proofErr w:type="gramStart"/>
      <w:r w:rsidR="00FB71B4" w:rsidRPr="00FB71B4">
        <w:rPr>
          <w:rFonts w:ascii="Times" w:eastAsia="MS Mincho" w:hAnsi="Times"/>
          <w:i/>
          <w:iCs/>
          <w:lang w:eastAsia="en-US"/>
        </w:rPr>
        <w:t>.</w:t>
      </w:r>
      <w:r w:rsidR="00FB71B4" w:rsidRPr="00FB71B4">
        <w:rPr>
          <w:rFonts w:ascii="Times" w:eastAsia="MS Mincho" w:hAnsi="Times"/>
          <w:lang w:eastAsia="en-US"/>
        </w:rPr>
        <w:t>,</w:t>
      </w:r>
      <w:proofErr w:type="gramEnd"/>
      <w:r w:rsidR="00FB71B4" w:rsidRPr="00FB71B4">
        <w:rPr>
          <w:rFonts w:ascii="Times" w:eastAsia="MS Mincho" w:hAnsi="Times"/>
          <w:lang w:eastAsia="en-US"/>
        </w:rPr>
        <w:t xml:space="preserve"> vol. 31, no. 4, 2004.</w:t>
      </w:r>
    </w:p>
    <w:p w14:paraId="23C09D7A" w14:textId="77777777" w:rsidR="00FB71B4" w:rsidRPr="00FB71B4" w:rsidRDefault="00546004" w:rsidP="00FB71B4">
      <w:pPr>
        <w:suppressAutoHyphens w:val="0"/>
        <w:spacing w:before="100" w:beforeAutospacing="1" w:after="100" w:afterAutospacing="1"/>
        <w:ind w:left="640" w:hanging="640"/>
        <w:jc w:val="left"/>
        <w:rPr>
          <w:rFonts w:ascii="Times" w:eastAsia="MS Mincho" w:hAnsi="Times"/>
          <w:lang w:eastAsia="en-US"/>
        </w:rPr>
      </w:pPr>
      <w:r w:rsidRPr="00FB71B4">
        <w:rPr>
          <w:rFonts w:ascii="Times" w:eastAsia="MS Mincho" w:hAnsi="Times"/>
          <w:lang w:eastAsia="en-US"/>
        </w:rPr>
        <w:t xml:space="preserve"> </w:t>
      </w:r>
      <w:r>
        <w:rPr>
          <w:rFonts w:ascii="Times" w:eastAsia="MS Mincho" w:hAnsi="Times"/>
          <w:lang w:eastAsia="en-US"/>
        </w:rPr>
        <w:t>[17</w:t>
      </w:r>
      <w:r w:rsidR="00FB71B4" w:rsidRPr="00FB71B4">
        <w:rPr>
          <w:rFonts w:ascii="Times" w:eastAsia="MS Mincho" w:hAnsi="Times"/>
          <w:lang w:eastAsia="en-US"/>
        </w:rPr>
        <w:t>]</w:t>
      </w:r>
      <w:r w:rsidR="00FB71B4" w:rsidRPr="00FB71B4">
        <w:rPr>
          <w:rFonts w:ascii="Times" w:eastAsia="MS Mincho" w:hAnsi="Times"/>
          <w:lang w:eastAsia="en-US"/>
        </w:rPr>
        <w:tab/>
        <w:t xml:space="preserve">Hodgkins, S. B., </w:t>
      </w:r>
      <w:proofErr w:type="spellStart"/>
      <w:r w:rsidR="00FB71B4" w:rsidRPr="00FB71B4">
        <w:rPr>
          <w:rFonts w:ascii="Times" w:eastAsia="MS Mincho" w:hAnsi="Times"/>
          <w:lang w:eastAsia="en-US"/>
        </w:rPr>
        <w:t>Tfaily</w:t>
      </w:r>
      <w:proofErr w:type="spellEnd"/>
      <w:r w:rsidR="00FB71B4" w:rsidRPr="00FB71B4">
        <w:rPr>
          <w:rFonts w:ascii="Times" w:eastAsia="MS Mincho" w:hAnsi="Times"/>
          <w:lang w:eastAsia="en-US"/>
        </w:rPr>
        <w:t xml:space="preserve">, M. M., </w:t>
      </w:r>
      <w:proofErr w:type="spellStart"/>
      <w:r w:rsidR="00FB71B4" w:rsidRPr="00FB71B4">
        <w:rPr>
          <w:rFonts w:ascii="Times" w:eastAsia="MS Mincho" w:hAnsi="Times"/>
          <w:lang w:eastAsia="en-US"/>
        </w:rPr>
        <w:t>McCalley</w:t>
      </w:r>
      <w:proofErr w:type="spellEnd"/>
      <w:r w:rsidR="00FB71B4" w:rsidRPr="00FB71B4">
        <w:rPr>
          <w:rFonts w:ascii="Times" w:eastAsia="MS Mincho" w:hAnsi="Times"/>
          <w:lang w:eastAsia="en-US"/>
        </w:rPr>
        <w:t xml:space="preserve">, C. K., Logan, T. A., Crill, P. M., </w:t>
      </w:r>
      <w:proofErr w:type="spellStart"/>
      <w:r w:rsidR="00FB71B4" w:rsidRPr="00FB71B4">
        <w:rPr>
          <w:rFonts w:ascii="Times" w:eastAsia="MS Mincho" w:hAnsi="Times"/>
          <w:lang w:eastAsia="en-US"/>
        </w:rPr>
        <w:t>Saleska</w:t>
      </w:r>
      <w:proofErr w:type="spellEnd"/>
      <w:r w:rsidR="00FB71B4" w:rsidRPr="00FB71B4">
        <w:rPr>
          <w:rFonts w:ascii="Times" w:eastAsia="MS Mincho" w:hAnsi="Times"/>
          <w:lang w:eastAsia="en-US"/>
        </w:rPr>
        <w:t xml:space="preserve">, S. R., Rich, V. I., and </w:t>
      </w:r>
      <w:proofErr w:type="spellStart"/>
      <w:r w:rsidR="00FB71B4" w:rsidRPr="00FB71B4">
        <w:rPr>
          <w:rFonts w:ascii="Times" w:eastAsia="MS Mincho" w:hAnsi="Times"/>
          <w:lang w:eastAsia="en-US"/>
        </w:rPr>
        <w:t>Chanton</w:t>
      </w:r>
      <w:proofErr w:type="spellEnd"/>
      <w:r w:rsidR="00FB71B4" w:rsidRPr="00FB71B4">
        <w:rPr>
          <w:rFonts w:ascii="Times" w:eastAsia="MS Mincho" w:hAnsi="Times"/>
          <w:lang w:eastAsia="en-US"/>
        </w:rPr>
        <w:t>, J. P.: Changes in peat chemistry associated with permafrost thaw increase green- house gas production</w:t>
      </w:r>
      <w:proofErr w:type="gramStart"/>
      <w:r w:rsidR="00FB71B4" w:rsidRPr="00FB71B4">
        <w:rPr>
          <w:rFonts w:ascii="Times" w:eastAsia="MS Mincho" w:hAnsi="Times"/>
          <w:lang w:eastAsia="en-US"/>
        </w:rPr>
        <w:t>.,</w:t>
      </w:r>
      <w:proofErr w:type="gramEnd"/>
      <w:r w:rsidR="00FB71B4" w:rsidRPr="00FB71B4">
        <w:rPr>
          <w:rFonts w:ascii="Times" w:eastAsia="MS Mincho" w:hAnsi="Times"/>
          <w:lang w:eastAsia="en-US"/>
        </w:rPr>
        <w:t xml:space="preserve"> Proc. Natl. Acad. Sci. USA, 111, 5819– 24, 2014</w:t>
      </w:r>
    </w:p>
    <w:p w14:paraId="2F660E77" w14:textId="77777777" w:rsidR="003A7359" w:rsidRPr="003A7359" w:rsidRDefault="003A7359" w:rsidP="003A7359">
      <w:pPr>
        <w:pStyle w:val="BodyText"/>
        <w:rPr>
          <w:lang w:val="en-US" w:eastAsia="en-US"/>
        </w:rPr>
      </w:pPr>
    </w:p>
    <w:p w14:paraId="7945A718" w14:textId="77777777" w:rsidR="00EF0F26" w:rsidRDefault="00FB71B4" w:rsidP="00FB71B4">
      <w:pPr>
        <w:suppressAutoHyphens w:val="0"/>
        <w:spacing w:before="100" w:beforeAutospacing="1" w:after="100" w:afterAutospacing="1"/>
        <w:ind w:left="640" w:hanging="640"/>
        <w:jc w:val="left"/>
        <w:rPr>
          <w:rFonts w:ascii="Times" w:eastAsia="MS Mincho" w:hAnsi="Times"/>
          <w:lang w:eastAsia="en-US"/>
        </w:rPr>
      </w:pPr>
      <w:r w:rsidRPr="00F42932">
        <w:rPr>
          <w:rFonts w:ascii="Times" w:eastAsia="MS Mincho" w:hAnsi="Times"/>
          <w:lang w:eastAsia="en-US"/>
        </w:rPr>
        <w:t xml:space="preserve"> </w:t>
      </w:r>
    </w:p>
    <w:p w14:paraId="002848F2" w14:textId="77777777" w:rsidR="00CD1E91" w:rsidRDefault="00CD1E91" w:rsidP="00F42932">
      <w:pPr>
        <w:pStyle w:val="BodyText"/>
      </w:pPr>
    </w:p>
    <w:sectPr w:rsidR="00CD1E91" w:rsidSect="00F42932">
      <w:type w:val="continuous"/>
      <w:pgSz w:w="12240" w:h="15840"/>
      <w:pgMar w:top="1080" w:right="893" w:bottom="1440" w:left="893" w:header="720" w:footer="720"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0C2F7" w14:textId="77777777" w:rsidR="00546004" w:rsidRDefault="00546004" w:rsidP="00FC7584">
      <w:r>
        <w:separator/>
      </w:r>
    </w:p>
  </w:endnote>
  <w:endnote w:type="continuationSeparator" w:id="0">
    <w:p w14:paraId="2018DCC6" w14:textId="77777777" w:rsidR="00546004" w:rsidRDefault="00546004" w:rsidP="00FC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DejaVu Sans">
    <w:charset w:val="80"/>
    <w:family w:val="auto"/>
    <w:pitch w:val="variable"/>
  </w:font>
  <w:font w:name="Lohit Hindi">
    <w:altName w:val="MS Mincho"/>
    <w:charset w:val="80"/>
    <w:family w:val="auto"/>
    <w:pitch w:val="variable"/>
  </w:font>
  <w:font w:name="MS Mincho">
    <w:altName w:val="ＭＳ 明朝"/>
    <w:charset w:val="80"/>
    <w:family w:val="modern"/>
    <w:pitch w:val="fixed"/>
    <w:sig w:usb0="E00002FF" w:usb1="6AC7FDFB" w:usb2="08000012" w:usb3="00000000" w:csb0="0002009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1DE5" w14:textId="77777777" w:rsidR="00546004" w:rsidRDefault="00546004" w:rsidP="00FC7584">
      <w:r>
        <w:separator/>
      </w:r>
    </w:p>
  </w:footnote>
  <w:footnote w:type="continuationSeparator" w:id="0">
    <w:p w14:paraId="1110CEF7" w14:textId="77777777" w:rsidR="00546004" w:rsidRDefault="00546004" w:rsidP="00FC7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20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B0D0D232"/>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5">
    <w:nsid w:val="00000005"/>
    <w:multiLevelType w:val="singleLevel"/>
    <w:tmpl w:val="00000005"/>
    <w:name w:val="WW8Num6"/>
    <w:lvl w:ilvl="0">
      <w:start w:val="1"/>
      <w:numFmt w:val="upperRoman"/>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6">
    <w:nsid w:val="00000006"/>
    <w:multiLevelType w:val="singleLevel"/>
    <w:tmpl w:val="00000006"/>
    <w:name w:val="WW8Num7"/>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7">
    <w:nsid w:val="2FE065C0"/>
    <w:multiLevelType w:val="hybridMultilevel"/>
    <w:tmpl w:val="A6EA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F21"/>
    <w:multiLevelType w:val="hybridMultilevel"/>
    <w:tmpl w:val="4AA4D8A2"/>
    <w:lvl w:ilvl="0" w:tplc="491AC46E">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3"/>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7C"/>
    <w:rsid w:val="000152CA"/>
    <w:rsid w:val="00030BAE"/>
    <w:rsid w:val="000431AD"/>
    <w:rsid w:val="00082300"/>
    <w:rsid w:val="00093E78"/>
    <w:rsid w:val="000F3963"/>
    <w:rsid w:val="001722F5"/>
    <w:rsid w:val="00194E12"/>
    <w:rsid w:val="001B268D"/>
    <w:rsid w:val="001B5CEE"/>
    <w:rsid w:val="001F310F"/>
    <w:rsid w:val="002B7959"/>
    <w:rsid w:val="00305969"/>
    <w:rsid w:val="00354BF6"/>
    <w:rsid w:val="003613AC"/>
    <w:rsid w:val="00363F1F"/>
    <w:rsid w:val="00386262"/>
    <w:rsid w:val="003A7359"/>
    <w:rsid w:val="00402AD7"/>
    <w:rsid w:val="00421E02"/>
    <w:rsid w:val="004270A1"/>
    <w:rsid w:val="004D1ADE"/>
    <w:rsid w:val="00546004"/>
    <w:rsid w:val="0057658C"/>
    <w:rsid w:val="005E4C7C"/>
    <w:rsid w:val="006C069E"/>
    <w:rsid w:val="006E0408"/>
    <w:rsid w:val="00720130"/>
    <w:rsid w:val="007438C0"/>
    <w:rsid w:val="00773DFE"/>
    <w:rsid w:val="007A6C59"/>
    <w:rsid w:val="007E48D8"/>
    <w:rsid w:val="00810AA7"/>
    <w:rsid w:val="00824DA9"/>
    <w:rsid w:val="00843CA7"/>
    <w:rsid w:val="00893B16"/>
    <w:rsid w:val="008A5B5A"/>
    <w:rsid w:val="008B0A09"/>
    <w:rsid w:val="008B4586"/>
    <w:rsid w:val="008C349E"/>
    <w:rsid w:val="00983E56"/>
    <w:rsid w:val="009D4F6E"/>
    <w:rsid w:val="009F1301"/>
    <w:rsid w:val="00A1167F"/>
    <w:rsid w:val="00AB49DF"/>
    <w:rsid w:val="00BA5D64"/>
    <w:rsid w:val="00BB589A"/>
    <w:rsid w:val="00BF0AC1"/>
    <w:rsid w:val="00C30917"/>
    <w:rsid w:val="00CD1E91"/>
    <w:rsid w:val="00CD3246"/>
    <w:rsid w:val="00D3099A"/>
    <w:rsid w:val="00D67753"/>
    <w:rsid w:val="00E61935"/>
    <w:rsid w:val="00EB4BBC"/>
    <w:rsid w:val="00EF0F26"/>
    <w:rsid w:val="00F10EA6"/>
    <w:rsid w:val="00F42932"/>
    <w:rsid w:val="00F43D5F"/>
    <w:rsid w:val="00F57B72"/>
    <w:rsid w:val="00FA098B"/>
    <w:rsid w:val="00FA260E"/>
    <w:rsid w:val="00FB71B4"/>
    <w:rsid w:val="00FC7335"/>
    <w:rsid w:val="00FC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17D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val="en-US"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val="en-US"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val="en-US"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val="en-US" w:eastAsia="en-US"/>
    </w:rPr>
  </w:style>
  <w:style w:type="paragraph" w:styleId="Heading5">
    <w:name w:val="heading 5"/>
    <w:basedOn w:val="Normal"/>
    <w:next w:val="BodyText"/>
    <w:qFormat/>
    <w:pPr>
      <w:tabs>
        <w:tab w:val="left" w:pos="360"/>
      </w:tabs>
      <w:spacing w:before="160" w:after="80"/>
      <w:outlineLvl w:val="4"/>
    </w:pPr>
    <w:rPr>
      <w:smallCaps/>
      <w:lang w:val="en-U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styleId="DefaultParagraphFont0">
    <w:name w:val="Default Paragraph Font"/>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lang w:eastAsia="en-US"/>
    </w:rPr>
  </w:style>
  <w:style w:type="paragraph" w:customStyle="1" w:styleId="bulletlist">
    <w:name w:val="bullet list"/>
    <w:basedOn w:val="BodyText"/>
    <w:pPr>
      <w:numPr>
        <w:numId w:val="3"/>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lang w:eastAsia="en-US"/>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lang w:eastAsia="en-US"/>
    </w:rPr>
  </w:style>
  <w:style w:type="paragraph" w:customStyle="1" w:styleId="papersubtitle">
    <w:name w:val="paper subtitle"/>
    <w:pPr>
      <w:suppressAutoHyphens/>
      <w:spacing w:after="120"/>
      <w:jc w:val="center"/>
    </w:pPr>
    <w:rPr>
      <w:rFonts w:eastAsia="MS Mincho"/>
      <w:sz w:val="28"/>
      <w:szCs w:val="28"/>
      <w:lang w:eastAsia="en-US"/>
    </w:rPr>
  </w:style>
  <w:style w:type="paragraph" w:customStyle="1" w:styleId="papertitle">
    <w:name w:val="paper title"/>
    <w:pPr>
      <w:suppressAutoHyphens/>
      <w:spacing w:after="120"/>
      <w:jc w:val="center"/>
    </w:pPr>
    <w:rPr>
      <w:rFonts w:eastAsia="MS Mincho"/>
      <w:sz w:val="48"/>
      <w:szCs w:val="48"/>
      <w:lang w:eastAsia="en-US"/>
    </w:rPr>
  </w:style>
  <w:style w:type="paragraph" w:customStyle="1" w:styleId="references">
    <w:name w:val="references"/>
    <w:pPr>
      <w:numPr>
        <w:numId w:val="4"/>
      </w:numPr>
      <w:suppressAutoHyphens/>
      <w:spacing w:after="50" w:line="180" w:lineRule="atLeast"/>
      <w:jc w:val="both"/>
    </w:pPr>
    <w:rPr>
      <w:rFonts w:eastAsia="MS Mincho"/>
      <w:sz w:val="18"/>
      <w:szCs w:val="16"/>
      <w:lang w:eastAsia="en-US"/>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eastAsia="en-US"/>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lang w:eastAsia="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semiHidden/>
    <w:unhideWhenUsed/>
    <w:rsid w:val="003613AC"/>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354BF6"/>
  </w:style>
  <w:style w:type="paragraph" w:styleId="Header">
    <w:name w:val="header"/>
    <w:basedOn w:val="Normal"/>
    <w:link w:val="HeaderChar"/>
    <w:uiPriority w:val="99"/>
    <w:unhideWhenUsed/>
    <w:rsid w:val="00FC7584"/>
    <w:pPr>
      <w:tabs>
        <w:tab w:val="center" w:pos="4680"/>
        <w:tab w:val="right" w:pos="9360"/>
      </w:tabs>
    </w:pPr>
  </w:style>
  <w:style w:type="character" w:customStyle="1" w:styleId="HeaderChar">
    <w:name w:val="Header Char"/>
    <w:link w:val="Header"/>
    <w:uiPriority w:val="99"/>
    <w:rsid w:val="00FC7584"/>
    <w:rPr>
      <w:rFonts w:eastAsia="SimSun"/>
      <w:lang w:eastAsia="zh-CN"/>
    </w:rPr>
  </w:style>
  <w:style w:type="paragraph" w:styleId="Footer">
    <w:name w:val="footer"/>
    <w:basedOn w:val="Normal"/>
    <w:link w:val="FooterChar"/>
    <w:uiPriority w:val="99"/>
    <w:unhideWhenUsed/>
    <w:rsid w:val="00FC7584"/>
    <w:pPr>
      <w:tabs>
        <w:tab w:val="center" w:pos="4680"/>
        <w:tab w:val="right" w:pos="9360"/>
      </w:tabs>
    </w:pPr>
  </w:style>
  <w:style w:type="character" w:customStyle="1" w:styleId="FooterChar">
    <w:name w:val="Footer Char"/>
    <w:link w:val="Footer"/>
    <w:uiPriority w:val="99"/>
    <w:rsid w:val="00FC7584"/>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val="en-US"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val="en-US"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val="en-US"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val="en-US" w:eastAsia="en-US"/>
    </w:rPr>
  </w:style>
  <w:style w:type="paragraph" w:styleId="Heading5">
    <w:name w:val="heading 5"/>
    <w:basedOn w:val="Normal"/>
    <w:next w:val="BodyText"/>
    <w:qFormat/>
    <w:pPr>
      <w:tabs>
        <w:tab w:val="left" w:pos="360"/>
      </w:tabs>
      <w:spacing w:before="160" w:after="80"/>
      <w:outlineLvl w:val="4"/>
    </w:pPr>
    <w:rPr>
      <w:smallCaps/>
      <w:lang w:val="en-US"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styleId="DefaultParagraphFont0">
    <w:name w:val="Default Paragraph Font"/>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lang w:eastAsia="en-US"/>
    </w:rPr>
  </w:style>
  <w:style w:type="paragraph" w:customStyle="1" w:styleId="bulletlist">
    <w:name w:val="bullet list"/>
    <w:basedOn w:val="BodyText"/>
    <w:pPr>
      <w:numPr>
        <w:numId w:val="3"/>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lang w:eastAsia="en-US"/>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lang w:eastAsia="en-US"/>
    </w:rPr>
  </w:style>
  <w:style w:type="paragraph" w:customStyle="1" w:styleId="papersubtitle">
    <w:name w:val="paper subtitle"/>
    <w:pPr>
      <w:suppressAutoHyphens/>
      <w:spacing w:after="120"/>
      <w:jc w:val="center"/>
    </w:pPr>
    <w:rPr>
      <w:rFonts w:eastAsia="MS Mincho"/>
      <w:sz w:val="28"/>
      <w:szCs w:val="28"/>
      <w:lang w:eastAsia="en-US"/>
    </w:rPr>
  </w:style>
  <w:style w:type="paragraph" w:customStyle="1" w:styleId="papertitle">
    <w:name w:val="paper title"/>
    <w:pPr>
      <w:suppressAutoHyphens/>
      <w:spacing w:after="120"/>
      <w:jc w:val="center"/>
    </w:pPr>
    <w:rPr>
      <w:rFonts w:eastAsia="MS Mincho"/>
      <w:sz w:val="48"/>
      <w:szCs w:val="48"/>
      <w:lang w:eastAsia="en-US"/>
    </w:rPr>
  </w:style>
  <w:style w:type="paragraph" w:customStyle="1" w:styleId="references">
    <w:name w:val="references"/>
    <w:pPr>
      <w:numPr>
        <w:numId w:val="4"/>
      </w:numPr>
      <w:suppressAutoHyphens/>
      <w:spacing w:after="50" w:line="180" w:lineRule="atLeast"/>
      <w:jc w:val="both"/>
    </w:pPr>
    <w:rPr>
      <w:rFonts w:eastAsia="MS Mincho"/>
      <w:sz w:val="18"/>
      <w:szCs w:val="16"/>
      <w:lang w:eastAsia="en-US"/>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eastAsia="en-US"/>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lang w:eastAsia="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semiHidden/>
    <w:unhideWhenUsed/>
    <w:rsid w:val="003613AC"/>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354BF6"/>
  </w:style>
  <w:style w:type="paragraph" w:styleId="Header">
    <w:name w:val="header"/>
    <w:basedOn w:val="Normal"/>
    <w:link w:val="HeaderChar"/>
    <w:uiPriority w:val="99"/>
    <w:unhideWhenUsed/>
    <w:rsid w:val="00FC7584"/>
    <w:pPr>
      <w:tabs>
        <w:tab w:val="center" w:pos="4680"/>
        <w:tab w:val="right" w:pos="9360"/>
      </w:tabs>
    </w:pPr>
  </w:style>
  <w:style w:type="character" w:customStyle="1" w:styleId="HeaderChar">
    <w:name w:val="Header Char"/>
    <w:link w:val="Header"/>
    <w:uiPriority w:val="99"/>
    <w:rsid w:val="00FC7584"/>
    <w:rPr>
      <w:rFonts w:eastAsia="SimSun"/>
      <w:lang w:eastAsia="zh-CN"/>
    </w:rPr>
  </w:style>
  <w:style w:type="paragraph" w:styleId="Footer">
    <w:name w:val="footer"/>
    <w:basedOn w:val="Normal"/>
    <w:link w:val="FooterChar"/>
    <w:uiPriority w:val="99"/>
    <w:unhideWhenUsed/>
    <w:rsid w:val="00FC7584"/>
    <w:pPr>
      <w:tabs>
        <w:tab w:val="center" w:pos="4680"/>
        <w:tab w:val="right" w:pos="9360"/>
      </w:tabs>
    </w:pPr>
  </w:style>
  <w:style w:type="character" w:customStyle="1" w:styleId="FooterChar">
    <w:name w:val="Footer Char"/>
    <w:link w:val="Footer"/>
    <w:uiPriority w:val="99"/>
    <w:rsid w:val="00FC7584"/>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6805">
      <w:bodyDiv w:val="1"/>
      <w:marLeft w:val="0"/>
      <w:marRight w:val="0"/>
      <w:marTop w:val="0"/>
      <w:marBottom w:val="0"/>
      <w:divBdr>
        <w:top w:val="none" w:sz="0" w:space="0" w:color="auto"/>
        <w:left w:val="none" w:sz="0" w:space="0" w:color="auto"/>
        <w:bottom w:val="none" w:sz="0" w:space="0" w:color="auto"/>
        <w:right w:val="none" w:sz="0" w:space="0" w:color="auto"/>
      </w:divBdr>
    </w:div>
    <w:div w:id="539246382">
      <w:bodyDiv w:val="1"/>
      <w:marLeft w:val="0"/>
      <w:marRight w:val="0"/>
      <w:marTop w:val="0"/>
      <w:marBottom w:val="0"/>
      <w:divBdr>
        <w:top w:val="none" w:sz="0" w:space="0" w:color="auto"/>
        <w:left w:val="none" w:sz="0" w:space="0" w:color="auto"/>
        <w:bottom w:val="none" w:sz="0" w:space="0" w:color="auto"/>
        <w:right w:val="none" w:sz="0" w:space="0" w:color="auto"/>
      </w:divBdr>
    </w:div>
    <w:div w:id="908998045">
      <w:bodyDiv w:val="1"/>
      <w:marLeft w:val="0"/>
      <w:marRight w:val="0"/>
      <w:marTop w:val="0"/>
      <w:marBottom w:val="0"/>
      <w:divBdr>
        <w:top w:val="none" w:sz="0" w:space="0" w:color="auto"/>
        <w:left w:val="none" w:sz="0" w:space="0" w:color="auto"/>
        <w:bottom w:val="none" w:sz="0" w:space="0" w:color="auto"/>
        <w:right w:val="none" w:sz="0" w:space="0" w:color="auto"/>
      </w:divBdr>
    </w:div>
    <w:div w:id="116859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2273</Words>
  <Characters>12957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Xavier Parker-Smith</cp:lastModifiedBy>
  <cp:revision>2</cp:revision>
  <cp:lastPrinted>1601-01-01T00:00:00Z</cp:lastPrinted>
  <dcterms:created xsi:type="dcterms:W3CDTF">2015-07-16T21:27:00Z</dcterms:created>
  <dcterms:modified xsi:type="dcterms:W3CDTF">2015-07-16T21:27:00Z</dcterms:modified>
</cp:coreProperties>
</file>